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842" w:rsidRPr="001E4CDF" w:rsidRDefault="00261842">
      <w:pPr>
        <w:spacing w:line="240" w:lineRule="auto"/>
        <w:jc w:val="center"/>
        <w:rPr>
          <w:sz w:val="32"/>
          <w:szCs w:val="24"/>
          <w:lang w:val="sr-Latn-RS"/>
        </w:rPr>
      </w:pPr>
    </w:p>
    <w:tbl>
      <w:tblPr>
        <w:tblW w:w="5000" w:type="pct"/>
        <w:jc w:val="center"/>
        <w:tblLayout w:type="fixed"/>
        <w:tblLook w:val="04A0" w:firstRow="1" w:lastRow="0" w:firstColumn="1" w:lastColumn="0" w:noHBand="0" w:noVBand="1"/>
      </w:tblPr>
      <w:tblGrid>
        <w:gridCol w:w="9219"/>
      </w:tblGrid>
      <w:tr w:rsidR="00261842" w:rsidRPr="00C03E15">
        <w:trPr>
          <w:trHeight w:val="2880"/>
          <w:jc w:val="center"/>
        </w:trPr>
        <w:tc>
          <w:tcPr>
            <w:tcW w:w="5000" w:type="pct"/>
          </w:tcPr>
          <w:p w:rsidR="00261842" w:rsidRPr="00C03E15" w:rsidRDefault="00261842">
            <w:pPr>
              <w:pStyle w:val="NoSpacing"/>
              <w:jc w:val="center"/>
              <w:rPr>
                <w:lang w:val="sr-Latn-RS"/>
              </w:rPr>
            </w:pPr>
          </w:p>
        </w:tc>
      </w:tr>
      <w:tr w:rsidR="00261842" w:rsidRPr="00C03E15">
        <w:trPr>
          <w:trHeight w:val="1440"/>
          <w:jc w:val="center"/>
        </w:trPr>
        <w:tc>
          <w:tcPr>
            <w:tcW w:w="5000" w:type="pct"/>
            <w:tcBorders>
              <w:bottom w:val="single" w:sz="4" w:space="0" w:color="4F81BD"/>
            </w:tcBorders>
            <w:vAlign w:val="center"/>
          </w:tcPr>
          <w:p w:rsidR="00261842" w:rsidRPr="00C03E15" w:rsidRDefault="00261842" w:rsidP="00B04D0E">
            <w:pPr>
              <w:pStyle w:val="NoSpacing"/>
              <w:jc w:val="center"/>
              <w:rPr>
                <w:sz w:val="56"/>
                <w:szCs w:val="56"/>
                <w:lang w:val="sr-Latn-RS"/>
              </w:rPr>
            </w:pPr>
            <w:r w:rsidRPr="00C03E15">
              <w:rPr>
                <w:rFonts w:ascii="Calibri" w:hAnsi="Calibri"/>
                <w:sz w:val="56"/>
                <w:szCs w:val="56"/>
                <w:lang w:val="sr-Latn-RS"/>
              </w:rPr>
              <w:t xml:space="preserve">Izveštaj o </w:t>
            </w:r>
            <w:r w:rsidR="00B04D0E" w:rsidRPr="00C03E15">
              <w:rPr>
                <w:rFonts w:ascii="Calibri" w:hAnsi="Calibri"/>
                <w:sz w:val="56"/>
                <w:szCs w:val="56"/>
                <w:lang w:val="sr-Latn-RS"/>
              </w:rPr>
              <w:t xml:space="preserve">merenju uspešnosti </w:t>
            </w:r>
            <w:r w:rsidRPr="00C03E15">
              <w:rPr>
                <w:rFonts w:ascii="Calibri" w:hAnsi="Calibri"/>
                <w:sz w:val="56"/>
                <w:szCs w:val="56"/>
                <w:lang w:val="sr-Latn-RS"/>
              </w:rPr>
              <w:t>opština u Srbiji u upravljanju javnim finansijama</w:t>
            </w:r>
          </w:p>
        </w:tc>
      </w:tr>
      <w:tr w:rsidR="00261842" w:rsidRPr="00C03E15">
        <w:trPr>
          <w:trHeight w:val="720"/>
          <w:jc w:val="center"/>
        </w:trPr>
        <w:tc>
          <w:tcPr>
            <w:tcW w:w="5000" w:type="pct"/>
            <w:tcBorders>
              <w:top w:val="single" w:sz="4" w:space="0" w:color="4F81BD"/>
            </w:tcBorders>
            <w:vAlign w:val="center"/>
          </w:tcPr>
          <w:p w:rsidR="00261842" w:rsidRPr="00C03E15" w:rsidRDefault="00261842">
            <w:pPr>
              <w:pStyle w:val="NoSpacing"/>
              <w:jc w:val="center"/>
              <w:rPr>
                <w:sz w:val="56"/>
                <w:lang w:val="sr-Latn-RS"/>
              </w:rPr>
            </w:pPr>
            <w:r w:rsidRPr="00C03E15">
              <w:rPr>
                <w:rFonts w:ascii="Calibri" w:hAnsi="Calibri"/>
                <w:b/>
                <w:sz w:val="48"/>
                <w:lang w:val="sr-Latn-RS"/>
              </w:rPr>
              <w:t xml:space="preserve">Opština </w:t>
            </w:r>
            <w:proofErr w:type="spellStart"/>
            <w:r w:rsidRPr="00C03E15">
              <w:rPr>
                <w:rFonts w:ascii="Calibri" w:hAnsi="Calibri"/>
                <w:b/>
                <w:sz w:val="48"/>
                <w:lang w:val="sr-Latn-RS"/>
              </w:rPr>
              <w:t>Osečina</w:t>
            </w:r>
            <w:proofErr w:type="spellEnd"/>
          </w:p>
        </w:tc>
      </w:tr>
      <w:tr w:rsidR="00261842" w:rsidRPr="00C03E15">
        <w:trPr>
          <w:trHeight w:val="360"/>
          <w:jc w:val="center"/>
        </w:trPr>
        <w:tc>
          <w:tcPr>
            <w:tcW w:w="5000" w:type="pct"/>
            <w:vAlign w:val="center"/>
          </w:tcPr>
          <w:p w:rsidR="00261842" w:rsidRPr="00C03E15" w:rsidRDefault="00261842">
            <w:pPr>
              <w:pStyle w:val="NoSpacing"/>
              <w:jc w:val="center"/>
              <w:rPr>
                <w:lang w:val="sr-Latn-RS"/>
              </w:rPr>
            </w:pPr>
          </w:p>
        </w:tc>
      </w:tr>
      <w:tr w:rsidR="00261842" w:rsidRPr="00C03E15">
        <w:trPr>
          <w:trHeight w:val="360"/>
          <w:jc w:val="center"/>
        </w:trPr>
        <w:tc>
          <w:tcPr>
            <w:tcW w:w="5000" w:type="pct"/>
            <w:vAlign w:val="center"/>
          </w:tcPr>
          <w:p w:rsidR="00261842" w:rsidRPr="00C03E15" w:rsidRDefault="00261842">
            <w:pPr>
              <w:pStyle w:val="NoSpacing"/>
              <w:jc w:val="center"/>
              <w:rPr>
                <w:b/>
                <w:lang w:val="sr-Latn-RS"/>
              </w:rPr>
            </w:pPr>
            <w:r w:rsidRPr="00C03E15">
              <w:rPr>
                <w:b/>
                <w:sz w:val="40"/>
                <w:lang w:val="sr-Latn-RS"/>
              </w:rPr>
              <w:t>REPIM Ltd za SECO</w:t>
            </w:r>
          </w:p>
        </w:tc>
      </w:tr>
      <w:tr w:rsidR="00261842" w:rsidRPr="00C03E15">
        <w:trPr>
          <w:trHeight w:val="360"/>
          <w:jc w:val="center"/>
        </w:trPr>
        <w:tc>
          <w:tcPr>
            <w:tcW w:w="5000" w:type="pct"/>
            <w:vAlign w:val="center"/>
          </w:tcPr>
          <w:p w:rsidR="00261842" w:rsidRPr="00C03E15" w:rsidRDefault="00261842">
            <w:pPr>
              <w:pStyle w:val="NoSpacing"/>
              <w:jc w:val="center"/>
              <w:rPr>
                <w:b/>
                <w:sz w:val="40"/>
                <w:lang w:val="sr-Latn-RS"/>
              </w:rPr>
            </w:pPr>
          </w:p>
        </w:tc>
      </w:tr>
      <w:tr w:rsidR="00261842" w:rsidRPr="00C03E15">
        <w:trPr>
          <w:trHeight w:val="360"/>
          <w:jc w:val="center"/>
        </w:trPr>
        <w:tc>
          <w:tcPr>
            <w:tcW w:w="5000" w:type="pct"/>
            <w:vAlign w:val="center"/>
          </w:tcPr>
          <w:p w:rsidR="00261842" w:rsidRPr="00C03E15" w:rsidRDefault="00261842">
            <w:pPr>
              <w:pStyle w:val="NoSpacing"/>
              <w:jc w:val="center"/>
              <w:rPr>
                <w:b/>
                <w:sz w:val="40"/>
                <w:lang w:val="sr-Latn-RS"/>
              </w:rPr>
            </w:pPr>
          </w:p>
        </w:tc>
      </w:tr>
      <w:tr w:rsidR="00261842" w:rsidRPr="00C03E15">
        <w:trPr>
          <w:trHeight w:val="360"/>
          <w:jc w:val="center"/>
        </w:trPr>
        <w:tc>
          <w:tcPr>
            <w:tcW w:w="5000" w:type="pct"/>
            <w:vAlign w:val="center"/>
          </w:tcPr>
          <w:p w:rsidR="00261842" w:rsidRPr="00C03E15" w:rsidRDefault="00261842">
            <w:pPr>
              <w:pStyle w:val="NoSpacing"/>
              <w:jc w:val="center"/>
              <w:rPr>
                <w:b/>
                <w:sz w:val="40"/>
                <w:lang w:val="sr-Latn-RS"/>
              </w:rPr>
            </w:pPr>
          </w:p>
        </w:tc>
      </w:tr>
      <w:tr w:rsidR="00261842" w:rsidRPr="00C03E15">
        <w:trPr>
          <w:trHeight w:val="360"/>
          <w:jc w:val="center"/>
        </w:trPr>
        <w:tc>
          <w:tcPr>
            <w:tcW w:w="5000" w:type="pct"/>
            <w:vAlign w:val="center"/>
          </w:tcPr>
          <w:p w:rsidR="00261842" w:rsidRPr="00C03E15" w:rsidRDefault="00261842">
            <w:pPr>
              <w:pStyle w:val="NoSpacing"/>
              <w:jc w:val="center"/>
              <w:rPr>
                <w:b/>
                <w:sz w:val="40"/>
                <w:lang w:val="sr-Latn-RS"/>
              </w:rPr>
            </w:pPr>
          </w:p>
        </w:tc>
      </w:tr>
      <w:tr w:rsidR="00261842" w:rsidRPr="00025057">
        <w:trPr>
          <w:trHeight w:val="360"/>
          <w:jc w:val="center"/>
        </w:trPr>
        <w:tc>
          <w:tcPr>
            <w:tcW w:w="5000" w:type="pct"/>
            <w:vAlign w:val="center"/>
          </w:tcPr>
          <w:p w:rsidR="00261842" w:rsidRPr="00C03E15" w:rsidRDefault="00025057">
            <w:pPr>
              <w:pStyle w:val="NoSpacing"/>
              <w:jc w:val="center"/>
              <w:rPr>
                <w:b/>
                <w:sz w:val="40"/>
                <w:lang w:val="sr-Latn-RS"/>
              </w:rPr>
            </w:pPr>
            <w:r>
              <w:rPr>
                <w:rFonts w:ascii="Tahoma" w:hAnsi="Tahoma" w:cs="Tahoma"/>
                <w:lang w:val="sr-Latn-RS"/>
              </w:rPr>
              <w:t xml:space="preserve">Ovaj dokument pokriva Zbirnu ocenu i Odeljak 3 za Izveštaj o oceni PEFA za </w:t>
            </w:r>
            <w:proofErr w:type="spellStart"/>
            <w:r>
              <w:rPr>
                <w:rFonts w:ascii="Tahoma" w:hAnsi="Tahoma" w:cs="Tahoma"/>
                <w:lang w:val="sr-Latn-RS"/>
              </w:rPr>
              <w:t>Osečinu</w:t>
            </w:r>
            <w:proofErr w:type="spellEnd"/>
            <w:r>
              <w:rPr>
                <w:rFonts w:ascii="Tahoma" w:hAnsi="Tahoma" w:cs="Tahoma"/>
                <w:lang w:val="sr-Latn-RS"/>
              </w:rPr>
              <w:t>. Treba ga čitati zajedno sa osnovnim „</w:t>
            </w:r>
            <w:r>
              <w:rPr>
                <w:rFonts w:ascii="Tahoma" w:hAnsi="Tahoma" w:cs="Tahoma"/>
                <w:i/>
                <w:lang w:val="sr-Latn-RS"/>
              </w:rPr>
              <w:t>Izveštajem o merenju uspešnosti u upravljanju javnim finansijama – opštine u Srbiji”</w:t>
            </w:r>
          </w:p>
        </w:tc>
      </w:tr>
      <w:tr w:rsidR="00261842" w:rsidRPr="00025057">
        <w:trPr>
          <w:trHeight w:val="360"/>
          <w:jc w:val="center"/>
        </w:trPr>
        <w:tc>
          <w:tcPr>
            <w:tcW w:w="5000" w:type="pct"/>
            <w:vAlign w:val="center"/>
          </w:tcPr>
          <w:p w:rsidR="00261842" w:rsidRPr="00C03E15" w:rsidRDefault="00261842">
            <w:pPr>
              <w:pStyle w:val="NoSpacing"/>
              <w:jc w:val="center"/>
              <w:rPr>
                <w:b/>
                <w:sz w:val="40"/>
                <w:lang w:val="sr-Latn-RS"/>
              </w:rPr>
            </w:pPr>
          </w:p>
        </w:tc>
      </w:tr>
      <w:tr w:rsidR="00261842" w:rsidRPr="00C03E15">
        <w:trPr>
          <w:trHeight w:val="360"/>
          <w:jc w:val="center"/>
        </w:trPr>
        <w:tc>
          <w:tcPr>
            <w:tcW w:w="5000" w:type="pct"/>
            <w:vAlign w:val="center"/>
          </w:tcPr>
          <w:p w:rsidR="00261842" w:rsidRPr="00C03E15" w:rsidRDefault="007C13B0" w:rsidP="00B04D0E">
            <w:pPr>
              <w:pStyle w:val="NoSpacing"/>
              <w:jc w:val="center"/>
              <w:rPr>
                <w:b/>
                <w:sz w:val="32"/>
                <w:lang w:val="sr-Latn-RS"/>
              </w:rPr>
            </w:pPr>
            <w:r w:rsidRPr="00C03E15">
              <w:rPr>
                <w:b/>
                <w:sz w:val="32"/>
                <w:lang w:val="sr-Latn-RS"/>
              </w:rPr>
              <w:t>maj 2015</w:t>
            </w:r>
            <w:r w:rsidR="00261842" w:rsidRPr="00C03E15">
              <w:rPr>
                <w:b/>
                <w:sz w:val="32"/>
                <w:lang w:val="sr-Latn-RS"/>
              </w:rPr>
              <w:t>.</w:t>
            </w:r>
            <w:r w:rsidR="00B04D0E" w:rsidRPr="00C03E15">
              <w:rPr>
                <w:b/>
                <w:sz w:val="32"/>
                <w:lang w:val="sr-Latn-RS"/>
              </w:rPr>
              <w:t xml:space="preserve"> godine</w:t>
            </w:r>
          </w:p>
        </w:tc>
      </w:tr>
    </w:tbl>
    <w:p w:rsidR="00261842" w:rsidRPr="001E4CDF" w:rsidRDefault="00261842">
      <w:pPr>
        <w:rPr>
          <w:szCs w:val="24"/>
          <w:lang w:val="sr-Latn-RS"/>
        </w:rPr>
      </w:pPr>
      <w:bookmarkStart w:id="0" w:name="_GoBack"/>
      <w:bookmarkEnd w:id="0"/>
    </w:p>
    <w:tbl>
      <w:tblPr>
        <w:tblpPr w:leftFromText="187" w:rightFromText="187" w:horzAnchor="margin" w:tblpXSpec="center" w:tblpYSpec="bottom"/>
        <w:tblW w:w="5000" w:type="pct"/>
        <w:tblLayout w:type="fixed"/>
        <w:tblLook w:val="04A0" w:firstRow="1" w:lastRow="0" w:firstColumn="1" w:lastColumn="0" w:noHBand="0" w:noVBand="1"/>
      </w:tblPr>
      <w:tblGrid>
        <w:gridCol w:w="9219"/>
      </w:tblGrid>
      <w:tr w:rsidR="00261842" w:rsidRPr="00C03E15">
        <w:tc>
          <w:tcPr>
            <w:tcW w:w="5000" w:type="pct"/>
          </w:tcPr>
          <w:p w:rsidR="00261842" w:rsidRPr="00C03E15" w:rsidRDefault="00261842">
            <w:pPr>
              <w:pStyle w:val="NoSpacing"/>
              <w:rPr>
                <w:lang w:val="sr-Latn-RS"/>
              </w:rPr>
            </w:pPr>
          </w:p>
        </w:tc>
      </w:tr>
    </w:tbl>
    <w:p w:rsidR="00261842" w:rsidRPr="001E4CDF" w:rsidRDefault="00261842">
      <w:pPr>
        <w:spacing w:line="240" w:lineRule="auto"/>
        <w:rPr>
          <w:szCs w:val="24"/>
          <w:lang w:val="sr-Latn-RS"/>
        </w:rPr>
      </w:pPr>
      <w:r w:rsidRPr="001E4CDF">
        <w:rPr>
          <w:szCs w:val="24"/>
          <w:lang w:val="sr-Latn-RS"/>
        </w:rPr>
        <w:br w:type="page"/>
      </w:r>
    </w:p>
    <w:p w:rsidR="00261842" w:rsidRPr="001E4CDF" w:rsidRDefault="00261842">
      <w:pPr>
        <w:spacing w:after="200" w:line="276" w:lineRule="auto"/>
        <w:jc w:val="center"/>
        <w:rPr>
          <w:b/>
          <w:sz w:val="28"/>
          <w:szCs w:val="24"/>
          <w:lang w:val="sr-Latn-RS"/>
        </w:rPr>
      </w:pPr>
    </w:p>
    <w:p w:rsidR="00261842" w:rsidRPr="001E4CDF" w:rsidRDefault="00261842">
      <w:pPr>
        <w:spacing w:after="200" w:line="276" w:lineRule="auto"/>
        <w:jc w:val="center"/>
        <w:rPr>
          <w:b/>
          <w:sz w:val="28"/>
          <w:szCs w:val="24"/>
          <w:lang w:val="sr-Latn-RS"/>
        </w:rPr>
      </w:pPr>
      <w:r w:rsidRPr="001E4CDF">
        <w:rPr>
          <w:b/>
          <w:sz w:val="28"/>
          <w:szCs w:val="24"/>
          <w:lang w:val="sr-Latn-RS"/>
        </w:rPr>
        <w:t>Valuta i kurs</w:t>
      </w:r>
    </w:p>
    <w:p w:rsidR="00261842" w:rsidRPr="001E4CDF" w:rsidRDefault="00261842">
      <w:pPr>
        <w:spacing w:after="120"/>
        <w:jc w:val="center"/>
        <w:rPr>
          <w:szCs w:val="24"/>
          <w:lang w:val="sr-Latn-RS"/>
        </w:rPr>
      </w:pPr>
      <w:r w:rsidRPr="001E4CDF">
        <w:rPr>
          <w:szCs w:val="24"/>
          <w:lang w:val="sr-Latn-RS"/>
        </w:rPr>
        <w:t>Lokalna valuta = srpski dinar</w:t>
      </w:r>
    </w:p>
    <w:p w:rsidR="00261842" w:rsidRPr="001E4CDF" w:rsidRDefault="00261842">
      <w:pPr>
        <w:spacing w:after="120"/>
        <w:jc w:val="center"/>
        <w:rPr>
          <w:szCs w:val="24"/>
          <w:lang w:val="sr-Latn-RS"/>
        </w:rPr>
      </w:pPr>
      <w:r w:rsidRPr="001E4CDF">
        <w:rPr>
          <w:szCs w:val="24"/>
          <w:lang w:val="sr-Latn-RS"/>
        </w:rPr>
        <w:t>RSD 100 = € 0.82 = US$ 1.105</w:t>
      </w:r>
    </w:p>
    <w:p w:rsidR="00261842" w:rsidRPr="001E4CDF" w:rsidRDefault="00261842">
      <w:pPr>
        <w:spacing w:after="120"/>
        <w:rPr>
          <w:szCs w:val="24"/>
          <w:lang w:val="sr-Latn-RS"/>
        </w:rPr>
      </w:pPr>
    </w:p>
    <w:p w:rsidR="00261842" w:rsidRPr="001E4CDF" w:rsidRDefault="00B04D0E">
      <w:pPr>
        <w:spacing w:after="120"/>
        <w:jc w:val="center"/>
        <w:rPr>
          <w:b/>
          <w:szCs w:val="24"/>
          <w:lang w:val="sr-Latn-RS"/>
        </w:rPr>
      </w:pPr>
      <w:r>
        <w:rPr>
          <w:b/>
          <w:szCs w:val="24"/>
          <w:lang w:val="sr-Latn-RS"/>
        </w:rPr>
        <w:t xml:space="preserve">Budžetska </w:t>
      </w:r>
      <w:r w:rsidR="00261842" w:rsidRPr="001E4CDF">
        <w:rPr>
          <w:b/>
          <w:szCs w:val="24"/>
          <w:lang w:val="sr-Latn-RS"/>
        </w:rPr>
        <w:t>godina</w:t>
      </w:r>
    </w:p>
    <w:tbl>
      <w:tblPr>
        <w:tblW w:w="0" w:type="auto"/>
        <w:tblInd w:w="8" w:type="dxa"/>
        <w:tblLayout w:type="fixed"/>
        <w:tblCellMar>
          <w:left w:w="0" w:type="dxa"/>
          <w:right w:w="0" w:type="dxa"/>
        </w:tblCellMar>
        <w:tblLook w:val="0000" w:firstRow="0" w:lastRow="0" w:firstColumn="0" w:lastColumn="0" w:noHBand="0" w:noVBand="0"/>
      </w:tblPr>
      <w:tblGrid>
        <w:gridCol w:w="9180"/>
      </w:tblGrid>
      <w:tr w:rsidR="00261842" w:rsidRPr="00025057">
        <w:tc>
          <w:tcPr>
            <w:tcW w:w="9180" w:type="dxa"/>
          </w:tcPr>
          <w:p w:rsidR="00261842" w:rsidRPr="00C03E15" w:rsidRDefault="00261842">
            <w:pPr>
              <w:tabs>
                <w:tab w:val="center" w:pos="4320"/>
                <w:tab w:val="right" w:pos="9090"/>
              </w:tabs>
              <w:jc w:val="center"/>
              <w:rPr>
                <w:szCs w:val="24"/>
                <w:lang w:val="sr-Latn-RS"/>
              </w:rPr>
            </w:pPr>
            <w:r w:rsidRPr="00C03E15">
              <w:rPr>
                <w:szCs w:val="24"/>
                <w:lang w:val="sr-Latn-RS"/>
              </w:rPr>
              <w:t>1. januar – 31. decembar</w:t>
            </w:r>
          </w:p>
          <w:p w:rsidR="00261842" w:rsidRPr="00C03E15" w:rsidRDefault="00261842">
            <w:pPr>
              <w:tabs>
                <w:tab w:val="center" w:pos="4320"/>
                <w:tab w:val="right" w:pos="9090"/>
              </w:tabs>
              <w:jc w:val="center"/>
              <w:rPr>
                <w:szCs w:val="24"/>
                <w:lang w:val="sr-Latn-RS"/>
              </w:rPr>
            </w:pPr>
          </w:p>
          <w:p w:rsidR="00261842" w:rsidRPr="00C03E15" w:rsidRDefault="00B04D0E">
            <w:pPr>
              <w:tabs>
                <w:tab w:val="center" w:pos="4320"/>
                <w:tab w:val="right" w:pos="9090"/>
              </w:tabs>
              <w:jc w:val="center"/>
              <w:rPr>
                <w:szCs w:val="24"/>
                <w:lang w:val="sr-Latn-RS"/>
              </w:rPr>
            </w:pPr>
            <w:r w:rsidRPr="00C03E15">
              <w:rPr>
                <w:szCs w:val="24"/>
                <w:lang w:val="sr-Latn-RS"/>
              </w:rPr>
              <w:t>Godine koje su obuhvaćene:</w:t>
            </w:r>
          </w:p>
          <w:p w:rsidR="00261842" w:rsidRPr="00C03E15" w:rsidRDefault="00261842">
            <w:pPr>
              <w:tabs>
                <w:tab w:val="center" w:pos="4320"/>
                <w:tab w:val="right" w:pos="9090"/>
              </w:tabs>
              <w:jc w:val="center"/>
              <w:rPr>
                <w:szCs w:val="24"/>
                <w:lang w:val="sr-Latn-RS"/>
              </w:rPr>
            </w:pPr>
            <w:r w:rsidRPr="00C03E15">
              <w:rPr>
                <w:szCs w:val="24"/>
                <w:lang w:val="sr-Latn-RS"/>
              </w:rPr>
              <w:t>2011, 2012</w:t>
            </w:r>
            <w:r w:rsidR="00B04D0E" w:rsidRPr="00C03E15">
              <w:rPr>
                <w:szCs w:val="24"/>
                <w:lang w:val="sr-Latn-RS"/>
              </w:rPr>
              <w:t>,</w:t>
            </w:r>
            <w:r w:rsidRPr="00C03E15">
              <w:rPr>
                <w:szCs w:val="24"/>
                <w:lang w:val="sr-Latn-RS"/>
              </w:rPr>
              <w:t xml:space="preserve"> 2013. i</w:t>
            </w:r>
          </w:p>
          <w:p w:rsidR="00261842" w:rsidRPr="00C03E15" w:rsidRDefault="00B04D0E">
            <w:pPr>
              <w:tabs>
                <w:tab w:val="center" w:pos="4320"/>
                <w:tab w:val="right" w:pos="9090"/>
              </w:tabs>
              <w:jc w:val="center"/>
              <w:rPr>
                <w:szCs w:val="24"/>
                <w:lang w:val="sr-Latn-RS"/>
              </w:rPr>
            </w:pPr>
            <w:r w:rsidRPr="00C03E15">
              <w:rPr>
                <w:szCs w:val="24"/>
                <w:lang w:val="sr-Latn-RS"/>
              </w:rPr>
              <w:t>podaci</w:t>
            </w:r>
            <w:r w:rsidR="00261842" w:rsidRPr="00C03E15">
              <w:rPr>
                <w:szCs w:val="24"/>
                <w:lang w:val="sr-Latn-RS"/>
              </w:rPr>
              <w:t xml:space="preserve"> u periodu vršenja ocene</w:t>
            </w:r>
          </w:p>
        </w:tc>
      </w:tr>
    </w:tbl>
    <w:p w:rsidR="00261842" w:rsidRPr="001E4CDF" w:rsidRDefault="00261842">
      <w:pPr>
        <w:spacing w:line="240" w:lineRule="auto"/>
        <w:rPr>
          <w:szCs w:val="24"/>
          <w:lang w:val="sr-Latn-RS"/>
        </w:rPr>
      </w:pPr>
    </w:p>
    <w:p w:rsidR="00261842" w:rsidRPr="001E4CDF" w:rsidRDefault="00261842">
      <w:pPr>
        <w:spacing w:line="240" w:lineRule="auto"/>
        <w:rPr>
          <w:szCs w:val="24"/>
          <w:lang w:val="sr-Latn-RS"/>
        </w:rPr>
      </w:pPr>
      <w:r w:rsidRPr="001E4CDF">
        <w:rPr>
          <w:szCs w:val="24"/>
          <w:lang w:val="sr-Latn-RS"/>
        </w:rPr>
        <w:br w:type="page"/>
      </w:r>
    </w:p>
    <w:p w:rsidR="00261842" w:rsidRPr="001E4CDF" w:rsidRDefault="00261842">
      <w:pPr>
        <w:spacing w:line="240" w:lineRule="auto"/>
        <w:rPr>
          <w:szCs w:val="24"/>
          <w:lang w:val="sr-Latn-RS"/>
        </w:rPr>
      </w:pPr>
    </w:p>
    <w:p w:rsidR="00261842" w:rsidRPr="00B04D0E" w:rsidRDefault="00261842" w:rsidP="00B04D0E">
      <w:pPr>
        <w:pStyle w:val="Heading1"/>
        <w:ind w:left="2880" w:firstLine="720"/>
        <w:jc w:val="left"/>
        <w:rPr>
          <w:rFonts w:cs="Times New Roman"/>
          <w:bCs w:val="0"/>
          <w:szCs w:val="24"/>
          <w:lang w:val="sr-Latn-RS"/>
        </w:rPr>
      </w:pPr>
      <w:bookmarkStart w:id="1" w:name="_Toc421138240"/>
      <w:r w:rsidRPr="00B04D0E">
        <w:rPr>
          <w:rFonts w:cs="Times New Roman"/>
          <w:bCs w:val="0"/>
          <w:szCs w:val="24"/>
          <w:lang w:val="sr-Latn-RS"/>
        </w:rPr>
        <w:t>Skraćenice</w:t>
      </w:r>
      <w:bookmarkEnd w:id="1"/>
    </w:p>
    <w:p w:rsidR="00261842" w:rsidRPr="001E4CDF" w:rsidRDefault="00261842">
      <w:pPr>
        <w:rPr>
          <w:szCs w:val="24"/>
          <w:lang w:val="sr-Latn-RS"/>
        </w:rPr>
      </w:pPr>
    </w:p>
    <w:tbl>
      <w:tblPr>
        <w:tblW w:w="0" w:type="auto"/>
        <w:jc w:val="center"/>
        <w:tblLayout w:type="fixed"/>
        <w:tblLook w:val="0000" w:firstRow="0" w:lastRow="0" w:firstColumn="0" w:lastColumn="0" w:noHBand="0" w:noVBand="0"/>
      </w:tblPr>
      <w:tblGrid>
        <w:gridCol w:w="1296"/>
        <w:gridCol w:w="6804"/>
      </w:tblGrid>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AGA</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Autonomna vladina agencija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ATU</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Administrativna teritorijalna jedinica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BC</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Uputstvo za izradu budžeta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BSL</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 xml:space="preserve">Zakon o budžetskom sistemu </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CG</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color w:val="000000"/>
                <w:szCs w:val="24"/>
                <w:lang w:val="sr-Latn-RS"/>
              </w:rPr>
            </w:pPr>
            <w:r w:rsidRPr="00C03E15">
              <w:rPr>
                <w:color w:val="000000"/>
                <w:sz w:val="22"/>
                <w:szCs w:val="24"/>
                <w:lang w:val="sr-Latn-RS"/>
              </w:rPr>
              <w:t>Centralna vlada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COFOG</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color w:val="000000"/>
                <w:szCs w:val="24"/>
                <w:lang w:val="sr-Latn-RS"/>
              </w:rPr>
            </w:pPr>
            <w:r w:rsidRPr="00C03E15">
              <w:rPr>
                <w:color w:val="000000"/>
                <w:sz w:val="22"/>
                <w:szCs w:val="24"/>
                <w:lang w:val="sr-Latn-RS"/>
              </w:rPr>
              <w:t>Klasifikacija funkcija vlade</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DBB</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Direktni budžetski korisnici</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EBE</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proofErr w:type="spellStart"/>
            <w:r w:rsidRPr="00C03E15">
              <w:rPr>
                <w:sz w:val="22"/>
                <w:szCs w:val="24"/>
                <w:lang w:val="sr-Latn-RS"/>
              </w:rPr>
              <w:t>Vanbudžetski</w:t>
            </w:r>
            <w:proofErr w:type="spellEnd"/>
            <w:r w:rsidRPr="00C03E15">
              <w:rPr>
                <w:sz w:val="22"/>
                <w:szCs w:val="24"/>
                <w:lang w:val="sr-Latn-RS"/>
              </w:rPr>
              <w:t xml:space="preserve"> rashod</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EC</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Evropska komisija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EU</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Evropska unija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FMC</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Kontrola finansijskog upravljanja</w:t>
            </w:r>
          </w:p>
        </w:tc>
      </w:tr>
      <w:tr w:rsidR="00261842" w:rsidRPr="00025057">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FMIS</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Informativni sistem za finansijsko upravljanje</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BDP</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Bruto domaći proizvod</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GFS</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Državna finansijska statistika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Cs w:val="24"/>
                <w:lang w:val="sr-Latn-RS"/>
              </w:rPr>
              <w:t>GIZ</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rPr>
                <w:szCs w:val="24"/>
                <w:lang w:val="sr-Latn-RS"/>
              </w:rPr>
            </w:pPr>
            <w:r w:rsidRPr="00C03E15">
              <w:rPr>
                <w:sz w:val="22"/>
                <w:szCs w:val="24"/>
                <w:lang w:val="sr-Latn-RS"/>
              </w:rPr>
              <w:t>Udruženje za međunarodnu saradnju</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GOS</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Vlada Srbije</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IA</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Interna revizija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IBB</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Indirektni budžetski korisnici</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IMF</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Međunarodni monetarni fond</w:t>
            </w:r>
          </w:p>
        </w:tc>
      </w:tr>
      <w:tr w:rsidR="00261842" w:rsidRPr="00025057">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INTOSAI</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 xml:space="preserve">Međunarodna organizacija vrhovnih revizorskih institucija </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Cs w:val="24"/>
                <w:lang w:val="sr-Latn-RS"/>
              </w:rPr>
              <w:t>IPA</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Cs w:val="24"/>
                <w:lang w:val="sr-Latn-RS"/>
              </w:rPr>
              <w:t xml:space="preserve">Instrument za </w:t>
            </w:r>
            <w:proofErr w:type="spellStart"/>
            <w:r w:rsidRPr="00C03E15">
              <w:rPr>
                <w:szCs w:val="24"/>
                <w:lang w:val="sr-Latn-RS"/>
              </w:rPr>
              <w:t>pretpristupnu</w:t>
            </w:r>
            <w:proofErr w:type="spellEnd"/>
            <w:r w:rsidRPr="00C03E15">
              <w:rPr>
                <w:szCs w:val="24"/>
                <w:lang w:val="sr-Latn-RS"/>
              </w:rPr>
              <w:t xml:space="preserve"> pomoć</w:t>
            </w:r>
          </w:p>
        </w:tc>
      </w:tr>
      <w:tr w:rsidR="00261842" w:rsidRPr="00025057">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IPSAS</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 xml:space="preserve">Međunarodni računovodstveni standardi za javni sektor </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ISPPIA</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 xml:space="preserve">Međunarodni standardi za profesionalnu praksu u internoj reviziji </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IT</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Informaciona tehnologija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LSU</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Lokalna samouprava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LM</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Nadležno ministarstvo</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MOE</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Opštinska preduzeća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MOF</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proofErr w:type="spellStart"/>
            <w:r w:rsidRPr="00C03E15">
              <w:rPr>
                <w:sz w:val="22"/>
                <w:szCs w:val="24"/>
                <w:lang w:val="sr-Latn-RS"/>
              </w:rPr>
              <w:t>Minstarstvo</w:t>
            </w:r>
            <w:proofErr w:type="spellEnd"/>
            <w:r w:rsidRPr="00C03E15">
              <w:rPr>
                <w:sz w:val="22"/>
                <w:szCs w:val="24"/>
                <w:lang w:val="sr-Latn-RS"/>
              </w:rPr>
              <w:t xml:space="preserve"> finansija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MTBO</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proofErr w:type="spellStart"/>
            <w:r w:rsidRPr="00C03E15">
              <w:rPr>
                <w:sz w:val="22"/>
                <w:szCs w:val="24"/>
                <w:lang w:val="sr-Latn-RS"/>
              </w:rPr>
              <w:t>Srednjoročni</w:t>
            </w:r>
            <w:proofErr w:type="spellEnd"/>
            <w:r w:rsidRPr="00C03E15">
              <w:rPr>
                <w:sz w:val="22"/>
                <w:szCs w:val="24"/>
                <w:lang w:val="sr-Latn-RS"/>
              </w:rPr>
              <w:t xml:space="preserve"> budžetski pregled</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MFBF</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proofErr w:type="spellStart"/>
            <w:r w:rsidRPr="00C03E15">
              <w:rPr>
                <w:sz w:val="22"/>
                <w:szCs w:val="24"/>
                <w:lang w:val="sr-Latn-RS"/>
              </w:rPr>
              <w:t>Srednjoročni</w:t>
            </w:r>
            <w:proofErr w:type="spellEnd"/>
            <w:r w:rsidRPr="00C03E15">
              <w:rPr>
                <w:sz w:val="22"/>
                <w:szCs w:val="24"/>
                <w:lang w:val="sr-Latn-RS"/>
              </w:rPr>
              <w:t xml:space="preserve"> budžetski okvir</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MTEF</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proofErr w:type="spellStart"/>
            <w:r w:rsidRPr="00C03E15">
              <w:rPr>
                <w:sz w:val="22"/>
                <w:szCs w:val="24"/>
                <w:lang w:val="sr-Latn-RS"/>
              </w:rPr>
              <w:t>Srednjoročni</w:t>
            </w:r>
            <w:proofErr w:type="spellEnd"/>
            <w:r w:rsidRPr="00C03E15">
              <w:rPr>
                <w:sz w:val="22"/>
                <w:szCs w:val="24"/>
                <w:lang w:val="sr-Latn-RS"/>
              </w:rPr>
              <w:t xml:space="preserve"> okvir rashoda</w:t>
            </w:r>
          </w:p>
        </w:tc>
      </w:tr>
      <w:tr w:rsidR="00261842" w:rsidRPr="00C03E15">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MTFO</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proofErr w:type="spellStart"/>
            <w:r w:rsidRPr="00C03E15">
              <w:rPr>
                <w:sz w:val="22"/>
                <w:szCs w:val="24"/>
                <w:lang w:val="sr-Latn-RS"/>
              </w:rPr>
              <w:t>Srednjoročni</w:t>
            </w:r>
            <w:proofErr w:type="spellEnd"/>
            <w:r w:rsidRPr="00C03E15">
              <w:rPr>
                <w:sz w:val="22"/>
                <w:szCs w:val="24"/>
                <w:lang w:val="sr-Latn-RS"/>
              </w:rPr>
              <w:t xml:space="preserve"> fiskalni pregled</w:t>
            </w:r>
          </w:p>
        </w:tc>
      </w:tr>
      <w:tr w:rsidR="00261842" w:rsidRPr="00025057">
        <w:trPr>
          <w:trHeight w:val="315"/>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PEFA</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Javni rashodi i finansijska odgovornost</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lastRenderedPageBreak/>
              <w:t>PFM</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Upravljanje javnim finansijama</w:t>
            </w:r>
          </w:p>
        </w:tc>
      </w:tr>
      <w:tr w:rsidR="00261842" w:rsidRPr="00025057">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PIFC</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Interna finansijska kontrola u javnom sektoru</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PPL</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Zakon o javnim nabavkama</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RS</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Republika Srbija</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RINO</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Cs w:val="24"/>
                <w:lang w:val="sr-Latn-RS"/>
              </w:rPr>
              <w:t xml:space="preserve">Registar </w:t>
            </w:r>
            <w:proofErr w:type="spellStart"/>
            <w:r w:rsidRPr="00C03E15">
              <w:rPr>
                <w:szCs w:val="24"/>
                <w:lang w:val="sr-Latn-RS"/>
              </w:rPr>
              <w:t>sravnjenja</w:t>
            </w:r>
            <w:proofErr w:type="spellEnd"/>
            <w:r w:rsidRPr="00C03E15">
              <w:rPr>
                <w:szCs w:val="24"/>
                <w:lang w:val="sr-Latn-RS"/>
              </w:rPr>
              <w:t xml:space="preserve"> finansijskih obaveza</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DRI</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Državna revizorska institucija</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SKGO</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color w:val="000000"/>
                <w:szCs w:val="24"/>
                <w:lang w:val="sr-Latn-RS"/>
              </w:rPr>
            </w:pPr>
            <w:r w:rsidRPr="00C03E15">
              <w:rPr>
                <w:color w:val="000000"/>
                <w:sz w:val="22"/>
                <w:szCs w:val="24"/>
                <w:lang w:val="sr-Latn-RS"/>
              </w:rPr>
              <w:t>Stalna konferencija gradova i opština</w:t>
            </w:r>
          </w:p>
        </w:tc>
      </w:tr>
      <w:tr w:rsidR="00261842" w:rsidRPr="00025057">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SECO</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color w:val="000000"/>
                <w:sz w:val="22"/>
                <w:szCs w:val="24"/>
                <w:lang w:val="sr-Latn-RS"/>
              </w:rPr>
              <w:t>Švajcarski državni sekretarijat za ekonomske poslove</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SEIO</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Kancelarija za evropske integracije</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SN</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 xml:space="preserve">Lokalni nivo vlasti </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STA</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Jedinstveni račun trezora</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Cs w:val="24"/>
                <w:lang w:val="sr-Latn-RS"/>
              </w:rPr>
              <w:t>SWG</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Cs w:val="24"/>
                <w:lang w:val="sr-Latn-RS"/>
              </w:rPr>
              <w:t>Sektorske radne grupe</w:t>
            </w:r>
          </w:p>
        </w:tc>
      </w:tr>
      <w:tr w:rsidR="00261842" w:rsidRPr="00C03E15">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TA</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Tehnička pomoć</w:t>
            </w:r>
          </w:p>
        </w:tc>
      </w:tr>
      <w:tr w:rsidR="00261842" w:rsidRPr="00025057">
        <w:trPr>
          <w:trHeight w:val="300"/>
          <w:jc w:val="center"/>
        </w:trPr>
        <w:tc>
          <w:tcPr>
            <w:tcW w:w="1296" w:type="dxa"/>
            <w:tcBorders>
              <w:top w:val="single" w:sz="4" w:space="0" w:color="000000"/>
              <w:left w:val="single" w:sz="4" w:space="0" w:color="000000"/>
              <w:bottom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USAID</w:t>
            </w:r>
          </w:p>
        </w:tc>
        <w:tc>
          <w:tcPr>
            <w:tcW w:w="6804" w:type="dxa"/>
            <w:tcBorders>
              <w:top w:val="single" w:sz="4" w:space="0" w:color="000000"/>
              <w:left w:val="single" w:sz="4" w:space="0" w:color="000000"/>
              <w:bottom w:val="single" w:sz="4" w:space="0" w:color="000000"/>
              <w:right w:val="single" w:sz="4" w:space="0" w:color="000000"/>
            </w:tcBorders>
          </w:tcPr>
          <w:p w:rsidR="00261842" w:rsidRPr="00C03E15" w:rsidRDefault="00261842">
            <w:pPr>
              <w:snapToGrid w:val="0"/>
              <w:spacing w:line="240" w:lineRule="auto"/>
              <w:rPr>
                <w:szCs w:val="24"/>
                <w:lang w:val="sr-Latn-RS"/>
              </w:rPr>
            </w:pPr>
            <w:r w:rsidRPr="00C03E15">
              <w:rPr>
                <w:sz w:val="22"/>
                <w:szCs w:val="24"/>
                <w:lang w:val="sr-Latn-RS"/>
              </w:rPr>
              <w:t>Američka agencija za međunarodni razvoj</w:t>
            </w:r>
          </w:p>
        </w:tc>
      </w:tr>
    </w:tbl>
    <w:p w:rsidR="00261842" w:rsidRPr="001E4CDF" w:rsidRDefault="00261842">
      <w:pPr>
        <w:rPr>
          <w:szCs w:val="24"/>
          <w:lang w:val="sr-Latn-RS"/>
        </w:rPr>
      </w:pPr>
    </w:p>
    <w:p w:rsidR="00261842" w:rsidRPr="001E4CDF" w:rsidRDefault="00261842">
      <w:pPr>
        <w:spacing w:before="240" w:after="240"/>
        <w:rPr>
          <w:szCs w:val="24"/>
          <w:lang w:val="sr-Latn-RS"/>
        </w:rPr>
      </w:pPr>
    </w:p>
    <w:p w:rsidR="00261842" w:rsidRPr="001E4CDF" w:rsidRDefault="00261842">
      <w:pPr>
        <w:spacing w:line="240" w:lineRule="auto"/>
        <w:rPr>
          <w:szCs w:val="24"/>
          <w:lang w:val="sr-Latn-RS"/>
        </w:rPr>
      </w:pPr>
    </w:p>
    <w:p w:rsidR="00261842" w:rsidRPr="001E4CDF" w:rsidRDefault="00261842">
      <w:pPr>
        <w:spacing w:line="240" w:lineRule="auto"/>
        <w:rPr>
          <w:szCs w:val="24"/>
          <w:lang w:val="sr-Latn-RS"/>
        </w:rPr>
      </w:pPr>
      <w:r w:rsidRPr="001E4CDF">
        <w:rPr>
          <w:szCs w:val="24"/>
          <w:lang w:val="sr-Latn-RS"/>
        </w:rPr>
        <w:br w:type="page"/>
      </w:r>
    </w:p>
    <w:p w:rsidR="00261842" w:rsidRPr="001E4CDF" w:rsidRDefault="00261842">
      <w:pPr>
        <w:pStyle w:val="Heading3"/>
        <w:spacing w:line="260" w:lineRule="auto"/>
        <w:jc w:val="center"/>
        <w:rPr>
          <w:szCs w:val="24"/>
          <w:lang w:val="sr-Latn-RS"/>
        </w:rPr>
      </w:pPr>
      <w:bookmarkStart w:id="2" w:name="_Toc421138241"/>
      <w:r w:rsidRPr="001E4CDF">
        <w:rPr>
          <w:szCs w:val="24"/>
          <w:lang w:val="sr-Latn-RS"/>
        </w:rPr>
        <w:lastRenderedPageBreak/>
        <w:t>Uvod</w:t>
      </w:r>
      <w:r w:rsidRPr="001E4CDF">
        <w:rPr>
          <w:rStyle w:val="FootnoteReference"/>
          <w:szCs w:val="24"/>
          <w:lang w:val="sr-Latn-RS"/>
        </w:rPr>
        <w:footnoteReference w:id="2"/>
      </w:r>
      <w:bookmarkEnd w:id="2"/>
    </w:p>
    <w:p w:rsidR="00261842" w:rsidRPr="001E4CDF" w:rsidRDefault="00261842">
      <w:pPr>
        <w:spacing w:before="240" w:line="260" w:lineRule="auto"/>
        <w:jc w:val="both"/>
        <w:rPr>
          <w:szCs w:val="24"/>
          <w:lang w:val="sr-Latn-RS"/>
        </w:rPr>
      </w:pPr>
      <w:r w:rsidRPr="001E4CDF">
        <w:rPr>
          <w:szCs w:val="24"/>
          <w:lang w:val="sr-Latn-RS"/>
        </w:rPr>
        <w:t xml:space="preserve">Opština </w:t>
      </w:r>
      <w:proofErr w:type="spellStart"/>
      <w:r w:rsidRPr="001E4CDF">
        <w:rPr>
          <w:szCs w:val="24"/>
          <w:lang w:val="sr-Latn-RS"/>
        </w:rPr>
        <w:t>Osečina</w:t>
      </w:r>
      <w:proofErr w:type="spellEnd"/>
      <w:r w:rsidRPr="001E4CDF">
        <w:rPr>
          <w:szCs w:val="24"/>
          <w:lang w:val="sr-Latn-RS"/>
        </w:rPr>
        <w:t xml:space="preserve"> se nalazi u zapadnoj Srbiji, prostire se na površini od 319 kvadratnih kilometara i ima ukupno 12,571 stanovnika.  Opština se prostire duž leve i desne strane državnog puta prvog reda Valjevo–Loznica i pruge (u izgradnji) na istoj trasi, sa leve i desne obale gornjeg i srednjeg toka </w:t>
      </w:r>
      <w:proofErr w:type="spellStart"/>
      <w:r w:rsidRPr="001E4CDF">
        <w:rPr>
          <w:szCs w:val="24"/>
          <w:lang w:val="sr-Latn-RS"/>
        </w:rPr>
        <w:t>Jadra</w:t>
      </w:r>
      <w:proofErr w:type="spellEnd"/>
      <w:r w:rsidRPr="001E4CDF">
        <w:rPr>
          <w:szCs w:val="24"/>
          <w:lang w:val="sr-Latn-RS"/>
        </w:rPr>
        <w:t xml:space="preserve">. </w:t>
      </w:r>
      <w:proofErr w:type="spellStart"/>
      <w:r w:rsidRPr="001E4CDF">
        <w:rPr>
          <w:szCs w:val="24"/>
          <w:lang w:val="sr-Latn-RS"/>
        </w:rPr>
        <w:t>Osečina</w:t>
      </w:r>
      <w:proofErr w:type="spellEnd"/>
      <w:r w:rsidRPr="001E4CDF">
        <w:rPr>
          <w:szCs w:val="24"/>
          <w:lang w:val="sr-Latn-RS"/>
        </w:rPr>
        <w:t xml:space="preserve"> se sa severa graniči sa opštinom </w:t>
      </w:r>
      <w:proofErr w:type="spellStart"/>
      <w:r w:rsidRPr="001E4CDF">
        <w:rPr>
          <w:szCs w:val="24"/>
          <w:lang w:val="sr-Latn-RS"/>
        </w:rPr>
        <w:t>Koceljeva</w:t>
      </w:r>
      <w:proofErr w:type="spellEnd"/>
      <w:r w:rsidRPr="001E4CDF">
        <w:rPr>
          <w:szCs w:val="24"/>
          <w:lang w:val="sr-Latn-RS"/>
        </w:rPr>
        <w:t xml:space="preserve">, sa istoka sa opštinom Valjevo, južnim delom sa opštinom Ljubovija a zapadnim sa opštinom </w:t>
      </w:r>
      <w:proofErr w:type="spellStart"/>
      <w:r w:rsidRPr="001E4CDF">
        <w:rPr>
          <w:szCs w:val="24"/>
          <w:lang w:val="sr-Latn-RS"/>
        </w:rPr>
        <w:t>Krupanj</w:t>
      </w:r>
      <w:proofErr w:type="spellEnd"/>
      <w:r w:rsidRPr="001E4CDF">
        <w:rPr>
          <w:szCs w:val="24"/>
          <w:lang w:val="sr-Latn-RS"/>
        </w:rPr>
        <w:t xml:space="preserve">. </w:t>
      </w:r>
    </w:p>
    <w:p w:rsidR="00261842" w:rsidRPr="001E4CDF" w:rsidRDefault="00261842">
      <w:pPr>
        <w:spacing w:before="240" w:line="260" w:lineRule="auto"/>
        <w:jc w:val="both"/>
        <w:rPr>
          <w:szCs w:val="24"/>
          <w:lang w:val="sr-Latn-RS"/>
        </w:rPr>
      </w:pPr>
      <w:r w:rsidRPr="001E4CDF">
        <w:rPr>
          <w:szCs w:val="24"/>
          <w:lang w:val="sr-Latn-RS"/>
        </w:rPr>
        <w:t xml:space="preserve">Centar i sedište opštine je grad </w:t>
      </w:r>
      <w:proofErr w:type="spellStart"/>
      <w:r w:rsidRPr="001E4CDF">
        <w:rPr>
          <w:szCs w:val="24"/>
          <w:lang w:val="sr-Latn-RS"/>
        </w:rPr>
        <w:t>Osečina</w:t>
      </w:r>
      <w:proofErr w:type="spellEnd"/>
      <w:r w:rsidRPr="001E4CDF">
        <w:rPr>
          <w:szCs w:val="24"/>
          <w:lang w:val="sr-Latn-RS"/>
        </w:rPr>
        <w:t xml:space="preserve">, koji se nalazi 32 kilometra severozapadno od Valjeva na putu za Loznicu, odnosno 130 kilometara jugozapadno od Beograda u pravcu severoistočnog dela Republike Srpske i BiH, na </w:t>
      </w:r>
      <w:proofErr w:type="spellStart"/>
      <w:r w:rsidRPr="001E4CDF">
        <w:rPr>
          <w:szCs w:val="24"/>
          <w:lang w:val="sr-Latn-RS"/>
        </w:rPr>
        <w:t>nadmorskoj</w:t>
      </w:r>
      <w:proofErr w:type="spellEnd"/>
      <w:r w:rsidRPr="001E4CDF">
        <w:rPr>
          <w:szCs w:val="24"/>
          <w:lang w:val="sr-Latn-RS"/>
        </w:rPr>
        <w:t xml:space="preserve"> visini od 210 metara.</w:t>
      </w:r>
    </w:p>
    <w:p w:rsidR="00261842" w:rsidRPr="001E4CDF" w:rsidRDefault="00261842">
      <w:pPr>
        <w:spacing w:before="240" w:line="260" w:lineRule="auto"/>
        <w:jc w:val="both"/>
        <w:rPr>
          <w:szCs w:val="24"/>
          <w:lang w:val="sr-Latn-RS"/>
        </w:rPr>
      </w:pPr>
      <w:r w:rsidRPr="001E4CDF">
        <w:rPr>
          <w:szCs w:val="24"/>
          <w:lang w:val="sr-Latn-RS"/>
        </w:rPr>
        <w:t xml:space="preserve">Opština </w:t>
      </w:r>
      <w:proofErr w:type="spellStart"/>
      <w:r w:rsidRPr="001E4CDF">
        <w:rPr>
          <w:szCs w:val="24"/>
          <w:lang w:val="sr-Latn-RS"/>
        </w:rPr>
        <w:t>Osečina</w:t>
      </w:r>
      <w:proofErr w:type="spellEnd"/>
      <w:r w:rsidRPr="001E4CDF">
        <w:rPr>
          <w:szCs w:val="24"/>
          <w:lang w:val="sr-Latn-RS"/>
        </w:rPr>
        <w:t xml:space="preserve"> raspolaže sa oko 1,781 hektara građevinskog zemljišta. Ukupan broj domaćinstava u opštini, prema dostupnim podacima, je 6.060 dok je broj novoizgrađenih stambenih objekata u periodu 2007</w:t>
      </w:r>
      <w:r w:rsidRPr="001E4CDF">
        <w:rPr>
          <w:szCs w:val="24"/>
          <w:lang w:val="sr-Latn-RS"/>
        </w:rPr>
        <w:fldChar w:fldCharType="begin"/>
      </w:r>
      <w:r w:rsidRPr="001E4CDF">
        <w:rPr>
          <w:szCs w:val="24"/>
          <w:lang w:val="sr-Latn-RS"/>
        </w:rPr>
        <w:instrText>SYMBOL</w:instrText>
      </w:r>
      <w:r w:rsidRPr="001E4CDF">
        <w:rPr>
          <w:szCs w:val="24"/>
          <w:lang w:val="sr-Latn-RS"/>
        </w:rPr>
        <w:fldChar w:fldCharType="end"/>
      </w:r>
      <w:r w:rsidRPr="001E4CDF">
        <w:rPr>
          <w:szCs w:val="24"/>
          <w:lang w:val="sr-Latn-RS"/>
        </w:rPr>
        <w:t xml:space="preserve">2012. iznosio 58, ukupne površine od 4.300 m2. </w:t>
      </w:r>
    </w:p>
    <w:p w:rsidR="00261842" w:rsidRPr="001E4CDF" w:rsidRDefault="00261842">
      <w:pPr>
        <w:spacing w:before="240" w:line="260" w:lineRule="auto"/>
        <w:jc w:val="both"/>
        <w:rPr>
          <w:szCs w:val="24"/>
          <w:lang w:val="sr-Latn-RS"/>
        </w:rPr>
      </w:pPr>
      <w:r w:rsidRPr="001E4CDF">
        <w:rPr>
          <w:szCs w:val="24"/>
          <w:lang w:val="sr-Latn-RS"/>
        </w:rPr>
        <w:t xml:space="preserve">Opština </w:t>
      </w:r>
      <w:proofErr w:type="spellStart"/>
      <w:r w:rsidRPr="001E4CDF">
        <w:rPr>
          <w:szCs w:val="24"/>
          <w:lang w:val="sr-Latn-RS"/>
        </w:rPr>
        <w:t>Osečina</w:t>
      </w:r>
      <w:proofErr w:type="spellEnd"/>
      <w:r w:rsidRPr="001E4CDF">
        <w:rPr>
          <w:szCs w:val="24"/>
          <w:lang w:val="sr-Latn-RS"/>
        </w:rPr>
        <w:t xml:space="preserve"> ima kvalitetnu infrastrukturu sa višedecenijskom tradicijom koja obuhvata: dom zdravlja, obdanište, osnovne i srednje škole i kulturne i sportske centre.</w:t>
      </w:r>
    </w:p>
    <w:p w:rsidR="00261842" w:rsidRPr="001E4CDF" w:rsidRDefault="00261842">
      <w:pPr>
        <w:spacing w:line="276" w:lineRule="auto"/>
        <w:rPr>
          <w:szCs w:val="24"/>
          <w:lang w:val="sr-Latn-RS"/>
        </w:rPr>
      </w:pPr>
    </w:p>
    <w:p w:rsidR="00261842" w:rsidRPr="001E4CDF" w:rsidRDefault="00261842">
      <w:pPr>
        <w:spacing w:line="280" w:lineRule="auto"/>
        <w:rPr>
          <w:b/>
          <w:szCs w:val="24"/>
          <w:lang w:val="sr-Latn-RS"/>
        </w:rPr>
      </w:pPr>
      <w:r w:rsidRPr="001E4CDF">
        <w:rPr>
          <w:b/>
          <w:szCs w:val="24"/>
          <w:lang w:val="sr-Latn-RS"/>
        </w:rPr>
        <w:t>Institucionalna odgovornost za upravljanje javnim finansijama</w:t>
      </w:r>
    </w:p>
    <w:p w:rsidR="00261842" w:rsidRPr="001E4CDF" w:rsidRDefault="00261842" w:rsidP="00B04D0E">
      <w:pPr>
        <w:spacing w:before="240" w:line="260" w:lineRule="auto"/>
        <w:jc w:val="both"/>
        <w:rPr>
          <w:szCs w:val="24"/>
          <w:lang w:val="sr-Latn-RS"/>
        </w:rPr>
      </w:pPr>
      <w:r w:rsidRPr="001E4CDF">
        <w:rPr>
          <w:szCs w:val="24"/>
          <w:lang w:val="sr-Latn-RS"/>
        </w:rPr>
        <w:t xml:space="preserve">U skladu sa Zakonom o lokalnoj samoupravi („Službeni glasnik RS“, br. 129/2007) opštinski organi su Skupština opštine, Gradonačelnik, Opštinsko veće i Opštinska uprava kako je uređeno Statutom opštine </w:t>
      </w:r>
      <w:proofErr w:type="spellStart"/>
      <w:r w:rsidRPr="001E4CDF">
        <w:rPr>
          <w:szCs w:val="24"/>
          <w:lang w:val="sr-Latn-RS"/>
        </w:rPr>
        <w:t>Osečina</w:t>
      </w:r>
      <w:proofErr w:type="spellEnd"/>
      <w:r w:rsidRPr="001E4CDF">
        <w:rPr>
          <w:szCs w:val="24"/>
          <w:lang w:val="sr-Latn-RS"/>
        </w:rPr>
        <w:t xml:space="preserve"> (Skupštinska odluka br. 060-36/2008 od 11. 10. 2008). Relevantne informacije o radu Opštinske uprave objavljene su na zvaničnom sajtu opštine. </w:t>
      </w:r>
    </w:p>
    <w:p w:rsidR="00261842" w:rsidRPr="001E4CDF" w:rsidRDefault="00261842">
      <w:pPr>
        <w:spacing w:before="240" w:line="260" w:lineRule="auto"/>
        <w:rPr>
          <w:szCs w:val="24"/>
          <w:lang w:val="sr-Latn-RS"/>
        </w:rPr>
      </w:pPr>
      <w:r w:rsidRPr="001E4CDF">
        <w:rPr>
          <w:szCs w:val="24"/>
          <w:lang w:val="sr-Latn-RS"/>
        </w:rPr>
        <w:t>Opštinska uprava je osnovala sledeće interne organizacione jedinice (odeljenja i službe):</w:t>
      </w:r>
    </w:p>
    <w:p w:rsidR="00261842" w:rsidRPr="001E4CDF" w:rsidRDefault="00261842">
      <w:pPr>
        <w:numPr>
          <w:ilvl w:val="0"/>
          <w:numId w:val="32"/>
        </w:numPr>
        <w:spacing w:line="280" w:lineRule="auto"/>
        <w:ind w:left="714" w:hanging="357"/>
        <w:rPr>
          <w:szCs w:val="24"/>
          <w:lang w:val="sr-Latn-RS"/>
        </w:rPr>
      </w:pPr>
      <w:r w:rsidRPr="001E4CDF">
        <w:rPr>
          <w:szCs w:val="24"/>
          <w:lang w:val="sr-Latn-RS"/>
        </w:rPr>
        <w:t>Odeljenje za opštu upravu i poslove organa opštine,</w:t>
      </w:r>
    </w:p>
    <w:p w:rsidR="00261842" w:rsidRPr="001E4CDF" w:rsidRDefault="00261842">
      <w:pPr>
        <w:numPr>
          <w:ilvl w:val="1"/>
          <w:numId w:val="32"/>
        </w:numPr>
        <w:spacing w:line="280" w:lineRule="auto"/>
        <w:rPr>
          <w:szCs w:val="24"/>
          <w:lang w:val="sr-Latn-RS"/>
        </w:rPr>
      </w:pPr>
      <w:r w:rsidRPr="001E4CDF">
        <w:rPr>
          <w:szCs w:val="24"/>
          <w:lang w:val="sr-Latn-RS"/>
        </w:rPr>
        <w:t>Vrši nadzor nad aktima koje donosi Gradonačelnik, Skupština i Opštinske veće i drugim propisima, u smislu usklađenosti sa zakonom.</w:t>
      </w:r>
    </w:p>
    <w:p w:rsidR="00261842" w:rsidRPr="001E4CDF" w:rsidRDefault="00261842">
      <w:pPr>
        <w:numPr>
          <w:ilvl w:val="0"/>
          <w:numId w:val="32"/>
        </w:numPr>
        <w:spacing w:line="280" w:lineRule="auto"/>
        <w:ind w:left="714" w:hanging="357"/>
        <w:rPr>
          <w:szCs w:val="24"/>
          <w:lang w:val="sr-Latn-RS"/>
        </w:rPr>
      </w:pPr>
      <w:r w:rsidRPr="001E4CDF">
        <w:rPr>
          <w:szCs w:val="24"/>
          <w:lang w:val="sr-Latn-RS"/>
        </w:rPr>
        <w:t>Odeljenje za budžet, privredu i javne službe,</w:t>
      </w:r>
    </w:p>
    <w:p w:rsidR="00261842" w:rsidRPr="001E4CDF" w:rsidRDefault="00261842">
      <w:pPr>
        <w:numPr>
          <w:ilvl w:val="1"/>
          <w:numId w:val="32"/>
        </w:numPr>
        <w:spacing w:line="280" w:lineRule="auto"/>
        <w:rPr>
          <w:szCs w:val="24"/>
          <w:lang w:val="sr-Latn-RS"/>
        </w:rPr>
      </w:pPr>
      <w:r w:rsidRPr="001E4CDF">
        <w:rPr>
          <w:szCs w:val="24"/>
          <w:lang w:val="sr-Latn-RS"/>
        </w:rPr>
        <w:lastRenderedPageBreak/>
        <w:t>Odgovorna za pripremu budžeta, funkcije računovodstva i trezora</w:t>
      </w:r>
    </w:p>
    <w:p w:rsidR="00261842" w:rsidRPr="001E4CDF" w:rsidRDefault="00261842">
      <w:pPr>
        <w:numPr>
          <w:ilvl w:val="1"/>
          <w:numId w:val="32"/>
        </w:numPr>
        <w:spacing w:line="280" w:lineRule="auto"/>
        <w:rPr>
          <w:szCs w:val="24"/>
          <w:lang w:val="sr-Latn-RS"/>
        </w:rPr>
      </w:pPr>
      <w:r w:rsidRPr="001E4CDF">
        <w:rPr>
          <w:szCs w:val="24"/>
          <w:lang w:val="sr-Latn-RS"/>
        </w:rPr>
        <w:t>Administracija naknadi i taksi za usluge koje se uplaćuju direktno na račun opštine</w:t>
      </w:r>
    </w:p>
    <w:p w:rsidR="00261842" w:rsidRPr="001E4CDF" w:rsidRDefault="00261842">
      <w:pPr>
        <w:numPr>
          <w:ilvl w:val="1"/>
          <w:numId w:val="32"/>
        </w:numPr>
        <w:spacing w:line="280" w:lineRule="auto"/>
        <w:rPr>
          <w:szCs w:val="24"/>
          <w:lang w:val="sr-Latn-RS"/>
        </w:rPr>
      </w:pPr>
      <w:r w:rsidRPr="001E4CDF">
        <w:rPr>
          <w:szCs w:val="24"/>
          <w:lang w:val="sr-Latn-RS"/>
        </w:rPr>
        <w:t>Interna kontrola,</w:t>
      </w:r>
    </w:p>
    <w:p w:rsidR="00261842" w:rsidRPr="001E4CDF" w:rsidRDefault="00261842">
      <w:pPr>
        <w:numPr>
          <w:ilvl w:val="1"/>
          <w:numId w:val="32"/>
        </w:numPr>
        <w:spacing w:line="280" w:lineRule="auto"/>
        <w:rPr>
          <w:szCs w:val="24"/>
          <w:lang w:val="sr-Latn-RS"/>
        </w:rPr>
      </w:pPr>
      <w:r w:rsidRPr="001E4CDF">
        <w:rPr>
          <w:szCs w:val="24"/>
          <w:lang w:val="sr-Latn-RS"/>
        </w:rPr>
        <w:t>Kontrola javnih institucija čiji je opština osnivač</w:t>
      </w:r>
    </w:p>
    <w:p w:rsidR="00261842" w:rsidRPr="001E4CDF" w:rsidRDefault="00261842">
      <w:pPr>
        <w:numPr>
          <w:ilvl w:val="1"/>
          <w:numId w:val="32"/>
        </w:numPr>
        <w:spacing w:line="280" w:lineRule="auto"/>
        <w:rPr>
          <w:szCs w:val="24"/>
          <w:lang w:val="sr-Latn-RS"/>
        </w:rPr>
      </w:pPr>
      <w:r w:rsidRPr="001E4CDF">
        <w:rPr>
          <w:szCs w:val="24"/>
          <w:lang w:val="sr-Latn-RS"/>
        </w:rPr>
        <w:t>Raspodela i kontrola upravljanja sredstvima namenjenim korisnicima</w:t>
      </w:r>
    </w:p>
    <w:p w:rsidR="00261842" w:rsidRPr="001E4CDF" w:rsidRDefault="00261842">
      <w:pPr>
        <w:numPr>
          <w:ilvl w:val="0"/>
          <w:numId w:val="32"/>
        </w:numPr>
        <w:spacing w:line="280" w:lineRule="auto"/>
        <w:ind w:left="714" w:hanging="357"/>
        <w:rPr>
          <w:szCs w:val="24"/>
          <w:lang w:val="sr-Latn-RS"/>
        </w:rPr>
      </w:pPr>
      <w:r w:rsidRPr="001E4CDF">
        <w:rPr>
          <w:szCs w:val="24"/>
          <w:lang w:val="sr-Latn-RS"/>
        </w:rPr>
        <w:t>Odeljenje za inspekcijske poslove,</w:t>
      </w:r>
    </w:p>
    <w:p w:rsidR="00261842" w:rsidRPr="001E4CDF" w:rsidRDefault="00261842">
      <w:pPr>
        <w:numPr>
          <w:ilvl w:val="1"/>
          <w:numId w:val="32"/>
        </w:numPr>
        <w:spacing w:line="280" w:lineRule="auto"/>
        <w:rPr>
          <w:szCs w:val="24"/>
          <w:lang w:val="sr-Latn-RS"/>
        </w:rPr>
      </w:pPr>
      <w:r w:rsidRPr="001E4CDF">
        <w:rPr>
          <w:szCs w:val="24"/>
          <w:lang w:val="sr-Latn-RS"/>
        </w:rPr>
        <w:t>Odgovorno za kontrolu sprovođenja propisa u nadležnosti opštine, kao što su: Izgradnja, komunalna preduzeća i kontrola zaštite životne sredine, prevoza, obrazovanja i kontrola budžeta</w:t>
      </w:r>
    </w:p>
    <w:p w:rsidR="00261842" w:rsidRPr="001E4CDF" w:rsidRDefault="00261842">
      <w:pPr>
        <w:numPr>
          <w:ilvl w:val="0"/>
          <w:numId w:val="32"/>
        </w:numPr>
        <w:spacing w:line="280" w:lineRule="auto"/>
        <w:ind w:left="714" w:hanging="357"/>
        <w:rPr>
          <w:szCs w:val="24"/>
          <w:lang w:val="sr-Latn-RS"/>
        </w:rPr>
      </w:pPr>
      <w:r w:rsidRPr="001E4CDF">
        <w:rPr>
          <w:szCs w:val="24"/>
          <w:lang w:val="sr-Latn-RS"/>
        </w:rPr>
        <w:t>Odeljenje za imovinsko pravne poslove, urbanizam i stambeno komunalne poslove,</w:t>
      </w:r>
    </w:p>
    <w:p w:rsidR="00261842" w:rsidRPr="001E4CDF" w:rsidRDefault="00261842">
      <w:pPr>
        <w:numPr>
          <w:ilvl w:val="0"/>
          <w:numId w:val="32"/>
        </w:numPr>
        <w:spacing w:line="280" w:lineRule="auto"/>
        <w:ind w:left="714" w:hanging="357"/>
        <w:rPr>
          <w:szCs w:val="24"/>
          <w:lang w:val="sr-Latn-RS"/>
        </w:rPr>
      </w:pPr>
      <w:r w:rsidRPr="001E4CDF">
        <w:rPr>
          <w:szCs w:val="24"/>
          <w:lang w:val="sr-Latn-RS"/>
        </w:rPr>
        <w:t>Odeljenje za zajedničke poslove,</w:t>
      </w:r>
    </w:p>
    <w:p w:rsidR="00261842" w:rsidRPr="001E4CDF" w:rsidRDefault="00261842">
      <w:pPr>
        <w:pStyle w:val="ListParagraph"/>
        <w:numPr>
          <w:ilvl w:val="1"/>
          <w:numId w:val="32"/>
        </w:numPr>
        <w:spacing w:line="280" w:lineRule="auto"/>
        <w:rPr>
          <w:szCs w:val="24"/>
          <w:lang w:val="sr-Latn-RS"/>
        </w:rPr>
      </w:pPr>
      <w:r w:rsidRPr="001E4CDF">
        <w:rPr>
          <w:szCs w:val="24"/>
          <w:lang w:val="sr-Latn-RS"/>
        </w:rPr>
        <w:t xml:space="preserve">Odgovorno za nabavke koje sprovodi opština </w:t>
      </w:r>
    </w:p>
    <w:p w:rsidR="00261842" w:rsidRPr="001E4CDF" w:rsidRDefault="00261842">
      <w:pPr>
        <w:pStyle w:val="ListParagraph"/>
        <w:numPr>
          <w:ilvl w:val="1"/>
          <w:numId w:val="32"/>
        </w:numPr>
        <w:spacing w:line="280" w:lineRule="auto"/>
        <w:rPr>
          <w:szCs w:val="24"/>
          <w:lang w:val="sr-Latn-RS"/>
        </w:rPr>
      </w:pPr>
      <w:r w:rsidRPr="001E4CDF">
        <w:rPr>
          <w:szCs w:val="24"/>
          <w:lang w:val="sr-Latn-RS"/>
        </w:rPr>
        <w:t>Kadrovski poslovi</w:t>
      </w:r>
    </w:p>
    <w:p w:rsidR="00261842" w:rsidRPr="001E4CDF" w:rsidRDefault="00261842">
      <w:pPr>
        <w:numPr>
          <w:ilvl w:val="0"/>
          <w:numId w:val="32"/>
        </w:numPr>
        <w:spacing w:line="280" w:lineRule="auto"/>
        <w:ind w:left="714" w:hanging="357"/>
        <w:rPr>
          <w:szCs w:val="24"/>
          <w:lang w:val="sr-Latn-RS"/>
        </w:rPr>
      </w:pPr>
      <w:r w:rsidRPr="001E4CDF">
        <w:rPr>
          <w:szCs w:val="24"/>
          <w:lang w:val="sr-Latn-RS"/>
        </w:rPr>
        <w:t>Služba za poresku administraciju.</w:t>
      </w:r>
    </w:p>
    <w:p w:rsidR="00261842" w:rsidRPr="001E4CDF" w:rsidRDefault="00261842">
      <w:pPr>
        <w:numPr>
          <w:ilvl w:val="1"/>
          <w:numId w:val="32"/>
        </w:numPr>
        <w:spacing w:line="280" w:lineRule="auto"/>
        <w:rPr>
          <w:szCs w:val="24"/>
          <w:lang w:val="sr-Latn-RS"/>
        </w:rPr>
      </w:pPr>
      <w:r w:rsidRPr="001E4CDF">
        <w:rPr>
          <w:szCs w:val="24"/>
          <w:lang w:val="sr-Latn-RS"/>
        </w:rPr>
        <w:t>Odgovorna za procenu iznosa poreza na imovinu i njegovu naplatu</w:t>
      </w:r>
    </w:p>
    <w:p w:rsidR="00261842" w:rsidRPr="001E4CDF" w:rsidRDefault="00261842">
      <w:pPr>
        <w:numPr>
          <w:ilvl w:val="1"/>
          <w:numId w:val="32"/>
        </w:numPr>
        <w:spacing w:line="280" w:lineRule="auto"/>
        <w:rPr>
          <w:szCs w:val="24"/>
          <w:lang w:val="sr-Latn-RS"/>
        </w:rPr>
      </w:pPr>
      <w:r w:rsidRPr="001E4CDF">
        <w:rPr>
          <w:szCs w:val="24"/>
          <w:lang w:val="sr-Latn-RS"/>
        </w:rPr>
        <w:t>Sprovodi upravni postupak po žalbi poreskih obveznika na odluke u poreskim postupcima</w:t>
      </w:r>
    </w:p>
    <w:p w:rsidR="00261842" w:rsidRPr="001E4CDF" w:rsidRDefault="00261842">
      <w:pPr>
        <w:spacing w:line="276" w:lineRule="auto"/>
        <w:ind w:left="360"/>
        <w:rPr>
          <w:szCs w:val="24"/>
          <w:lang w:val="sr-Latn-RS"/>
        </w:rPr>
      </w:pPr>
    </w:p>
    <w:p w:rsidR="00261842" w:rsidRPr="001E4CDF" w:rsidRDefault="00261842">
      <w:pPr>
        <w:spacing w:line="280" w:lineRule="auto"/>
        <w:ind w:left="360"/>
        <w:rPr>
          <w:szCs w:val="24"/>
          <w:lang w:val="sr-Latn-RS"/>
        </w:rPr>
      </w:pPr>
      <w:r w:rsidRPr="001E4CDF">
        <w:rPr>
          <w:szCs w:val="24"/>
          <w:lang w:val="sr-Latn-RS"/>
        </w:rPr>
        <w:t>Postoji i Direkcija za izgradnju i infrastrukturu kao pravno lice koje osniva i 100% u vlasništvu je opštine sa dužnostima kao što su:</w:t>
      </w:r>
    </w:p>
    <w:p w:rsidR="00261842" w:rsidRPr="001E4CDF" w:rsidRDefault="00261842">
      <w:pPr>
        <w:pStyle w:val="ListParagraph"/>
        <w:numPr>
          <w:ilvl w:val="1"/>
          <w:numId w:val="32"/>
        </w:numPr>
        <w:spacing w:line="280" w:lineRule="auto"/>
        <w:rPr>
          <w:szCs w:val="24"/>
          <w:lang w:val="sr-Latn-RS"/>
        </w:rPr>
      </w:pPr>
      <w:r w:rsidRPr="001E4CDF">
        <w:rPr>
          <w:szCs w:val="24"/>
          <w:lang w:val="sr-Latn-RS"/>
        </w:rPr>
        <w:t>Priprema prostornog i urbanističkog plana;</w:t>
      </w:r>
    </w:p>
    <w:p w:rsidR="00261842" w:rsidRPr="001E4CDF" w:rsidRDefault="00261842">
      <w:pPr>
        <w:pStyle w:val="ListParagraph"/>
        <w:numPr>
          <w:ilvl w:val="1"/>
          <w:numId w:val="32"/>
        </w:numPr>
        <w:spacing w:line="280" w:lineRule="auto"/>
        <w:rPr>
          <w:szCs w:val="24"/>
          <w:lang w:val="sr-Latn-RS"/>
        </w:rPr>
      </w:pPr>
      <w:r w:rsidRPr="001E4CDF">
        <w:rPr>
          <w:szCs w:val="24"/>
          <w:lang w:val="sr-Latn-RS"/>
        </w:rPr>
        <w:t>Priprema projekata razvoja gradskog područja; uređenje zemljišta;</w:t>
      </w:r>
    </w:p>
    <w:p w:rsidR="00261842" w:rsidRPr="001E4CDF" w:rsidRDefault="00261842">
      <w:pPr>
        <w:pStyle w:val="ListParagraph"/>
        <w:numPr>
          <w:ilvl w:val="1"/>
          <w:numId w:val="32"/>
        </w:numPr>
        <w:spacing w:line="280" w:lineRule="auto"/>
        <w:rPr>
          <w:szCs w:val="24"/>
          <w:lang w:val="sr-Latn-RS"/>
        </w:rPr>
      </w:pPr>
      <w:r w:rsidRPr="001E4CDF">
        <w:rPr>
          <w:szCs w:val="24"/>
          <w:lang w:val="sr-Latn-RS"/>
        </w:rPr>
        <w:t>Stručni i tehnički polovi izgradnji, održavanju, zaštiti i korišćenju opštinske infrastrukture</w:t>
      </w:r>
    </w:p>
    <w:p w:rsidR="00261842" w:rsidRPr="001E4CDF" w:rsidRDefault="00261842">
      <w:pPr>
        <w:pStyle w:val="ListParagraph"/>
        <w:numPr>
          <w:ilvl w:val="1"/>
          <w:numId w:val="32"/>
        </w:numPr>
        <w:spacing w:line="280" w:lineRule="auto"/>
        <w:rPr>
          <w:szCs w:val="24"/>
          <w:lang w:val="sr-Latn-RS"/>
        </w:rPr>
      </w:pPr>
      <w:r w:rsidRPr="001E4CDF">
        <w:rPr>
          <w:szCs w:val="24"/>
          <w:lang w:val="sr-Latn-RS"/>
        </w:rPr>
        <w:t>Nabavke iz njenog delokruga</w:t>
      </w:r>
    </w:p>
    <w:p w:rsidR="00261842" w:rsidRPr="001E4CDF" w:rsidRDefault="00261842">
      <w:pPr>
        <w:spacing w:line="276" w:lineRule="auto"/>
        <w:rPr>
          <w:szCs w:val="24"/>
          <w:lang w:val="sr-Latn-RS"/>
        </w:rPr>
      </w:pPr>
    </w:p>
    <w:p w:rsidR="00261842" w:rsidRPr="001E4CDF" w:rsidRDefault="00261842">
      <w:pPr>
        <w:spacing w:line="280" w:lineRule="auto"/>
        <w:rPr>
          <w:szCs w:val="24"/>
          <w:lang w:val="sr-Latn-RS"/>
        </w:rPr>
      </w:pPr>
      <w:r w:rsidRPr="001E4CDF">
        <w:rPr>
          <w:szCs w:val="24"/>
          <w:lang w:val="sr-Latn-RS"/>
        </w:rPr>
        <w:t>Opština ima i organe koji su odgovorni za nadzor i kontrolu rada ovih sektora a deo su opštinske administracije.</w:t>
      </w:r>
    </w:p>
    <w:p w:rsidR="00261842" w:rsidRPr="001E4CDF" w:rsidRDefault="00261842">
      <w:pPr>
        <w:spacing w:line="276" w:lineRule="auto"/>
        <w:rPr>
          <w:szCs w:val="24"/>
          <w:lang w:val="sr-Latn-RS"/>
        </w:rPr>
      </w:pPr>
    </w:p>
    <w:p w:rsidR="00261842" w:rsidRPr="001E4CDF" w:rsidRDefault="00261842">
      <w:pPr>
        <w:spacing w:line="280" w:lineRule="auto"/>
        <w:rPr>
          <w:b/>
          <w:szCs w:val="24"/>
          <w:lang w:val="sr-Latn-RS"/>
        </w:rPr>
      </w:pPr>
      <w:r w:rsidRPr="001E4CDF">
        <w:rPr>
          <w:b/>
          <w:szCs w:val="24"/>
          <w:lang w:val="sr-Latn-RS"/>
        </w:rPr>
        <w:t>Gradonačelnik koji</w:t>
      </w:r>
    </w:p>
    <w:p w:rsidR="00261842" w:rsidRPr="001E4CDF" w:rsidRDefault="00261842">
      <w:pPr>
        <w:pStyle w:val="ListParagraph"/>
        <w:numPr>
          <w:ilvl w:val="0"/>
          <w:numId w:val="42"/>
        </w:numPr>
        <w:spacing w:line="280" w:lineRule="auto"/>
        <w:rPr>
          <w:szCs w:val="24"/>
          <w:lang w:val="sr-Latn-RS"/>
        </w:rPr>
      </w:pPr>
      <w:r w:rsidRPr="001E4CDF">
        <w:rPr>
          <w:szCs w:val="24"/>
          <w:lang w:val="sr-Latn-RS"/>
        </w:rPr>
        <w:t>Predstavlja i zastupa opštinu;</w:t>
      </w:r>
    </w:p>
    <w:p w:rsidR="00261842" w:rsidRPr="001E4CDF" w:rsidRDefault="00261842">
      <w:pPr>
        <w:pStyle w:val="ListParagraph"/>
        <w:numPr>
          <w:ilvl w:val="0"/>
          <w:numId w:val="42"/>
        </w:numPr>
        <w:spacing w:line="280" w:lineRule="auto"/>
        <w:rPr>
          <w:szCs w:val="24"/>
          <w:lang w:val="sr-Latn-RS"/>
        </w:rPr>
      </w:pPr>
      <w:r w:rsidRPr="001E4CDF">
        <w:rPr>
          <w:szCs w:val="24"/>
          <w:lang w:val="sr-Latn-RS"/>
        </w:rPr>
        <w:t>Predlaže načine rešavanja pitanja o kojima odlučuje Skupština;</w:t>
      </w:r>
    </w:p>
    <w:p w:rsidR="00261842" w:rsidRPr="001E4CDF" w:rsidRDefault="00261842">
      <w:pPr>
        <w:pStyle w:val="ListParagraph"/>
        <w:numPr>
          <w:ilvl w:val="0"/>
          <w:numId w:val="42"/>
        </w:numPr>
        <w:spacing w:line="280" w:lineRule="auto"/>
        <w:rPr>
          <w:szCs w:val="24"/>
          <w:lang w:val="sr-Latn-RS"/>
        </w:rPr>
      </w:pPr>
      <w:r w:rsidRPr="001E4CDF">
        <w:rPr>
          <w:szCs w:val="24"/>
          <w:lang w:val="sr-Latn-RS"/>
        </w:rPr>
        <w:t>Naredbodavac je za izvršenje budžeta;</w:t>
      </w:r>
    </w:p>
    <w:p w:rsidR="00261842" w:rsidRPr="001E4CDF" w:rsidRDefault="00261842">
      <w:pPr>
        <w:pStyle w:val="ListParagraph"/>
        <w:numPr>
          <w:ilvl w:val="0"/>
          <w:numId w:val="42"/>
        </w:numPr>
        <w:spacing w:line="280" w:lineRule="auto"/>
        <w:rPr>
          <w:szCs w:val="24"/>
          <w:lang w:val="sr-Latn-RS"/>
        </w:rPr>
      </w:pPr>
      <w:r w:rsidRPr="001E4CDF">
        <w:rPr>
          <w:szCs w:val="24"/>
          <w:lang w:val="sr-Latn-RS"/>
        </w:rPr>
        <w:t>Usmerava i usklađuje rad Opštinske uprave;</w:t>
      </w:r>
    </w:p>
    <w:p w:rsidR="00261842" w:rsidRPr="001E4CDF" w:rsidRDefault="00261842">
      <w:pPr>
        <w:pStyle w:val="ListParagraph"/>
        <w:numPr>
          <w:ilvl w:val="0"/>
          <w:numId w:val="42"/>
        </w:numPr>
        <w:spacing w:line="280" w:lineRule="auto"/>
        <w:rPr>
          <w:szCs w:val="24"/>
          <w:lang w:val="sr-Latn-RS"/>
        </w:rPr>
      </w:pPr>
      <w:r w:rsidRPr="001E4CDF">
        <w:rPr>
          <w:szCs w:val="24"/>
          <w:lang w:val="sr-Latn-RS"/>
        </w:rPr>
        <w:t>Daje saglasnost na odluke budžetskih korisnika kojima se utvrđuje broj i struktura zaposlenih</w:t>
      </w:r>
      <w:r w:rsidRPr="00C03E15">
        <w:rPr>
          <w:rStyle w:val="tw4winMark"/>
          <w:rFonts w:ascii="Times New Roman" w:hAnsi="Times New Roman"/>
          <w:vanish w:val="0"/>
          <w:szCs w:val="24"/>
          <w:lang w:val="sr-Latn-RS"/>
        </w:rPr>
        <w:t xml:space="preserve"> </w:t>
      </w:r>
    </w:p>
    <w:p w:rsidR="00261842" w:rsidRPr="001E4CDF" w:rsidRDefault="00261842">
      <w:pPr>
        <w:spacing w:line="276" w:lineRule="auto"/>
        <w:rPr>
          <w:szCs w:val="24"/>
          <w:lang w:val="sr-Latn-RS"/>
        </w:rPr>
      </w:pPr>
    </w:p>
    <w:p w:rsidR="00261842" w:rsidRPr="001E4CDF" w:rsidRDefault="00261842">
      <w:pPr>
        <w:spacing w:after="60" w:line="260" w:lineRule="auto"/>
        <w:rPr>
          <w:b/>
          <w:szCs w:val="24"/>
          <w:lang w:val="sr-Latn-RS"/>
        </w:rPr>
      </w:pPr>
      <w:r w:rsidRPr="001E4CDF">
        <w:rPr>
          <w:b/>
          <w:szCs w:val="24"/>
          <w:lang w:val="sr-Latn-RS"/>
        </w:rPr>
        <w:t xml:space="preserve">Opštinsko veće </w:t>
      </w:r>
      <w:r w:rsidRPr="001E4CDF">
        <w:rPr>
          <w:szCs w:val="24"/>
          <w:lang w:val="sr-Latn-RS"/>
        </w:rPr>
        <w:t>ima</w:t>
      </w:r>
      <w:r w:rsidRPr="001E4CDF">
        <w:rPr>
          <w:b/>
          <w:szCs w:val="24"/>
          <w:lang w:val="sr-Latn-RS"/>
        </w:rPr>
        <w:t xml:space="preserve"> </w:t>
      </w:r>
      <w:r w:rsidRPr="001E4CDF">
        <w:rPr>
          <w:szCs w:val="24"/>
          <w:lang w:val="sr-Latn-RS"/>
        </w:rPr>
        <w:t>5 članova, pored gradonačelnika i zamenika gradonačelnika, koji su članovi Opštinskog veća po funkciji koju vrše. Opštinsko veće:</w:t>
      </w:r>
    </w:p>
    <w:p w:rsidR="00261842" w:rsidRPr="001E4CDF" w:rsidRDefault="00261842">
      <w:pPr>
        <w:pStyle w:val="ListParagraph"/>
        <w:numPr>
          <w:ilvl w:val="0"/>
          <w:numId w:val="45"/>
        </w:numPr>
        <w:spacing w:after="60" w:line="260" w:lineRule="auto"/>
        <w:rPr>
          <w:szCs w:val="24"/>
          <w:lang w:val="sr-Latn-RS"/>
        </w:rPr>
      </w:pPr>
      <w:r w:rsidRPr="001E4CDF">
        <w:rPr>
          <w:szCs w:val="24"/>
          <w:lang w:val="sr-Latn-RS"/>
        </w:rPr>
        <w:t>Predlaže Statut, budžet, odluke o organizaciji opštinske administracije i druge odluke koji donosi Skupština opštine,</w:t>
      </w:r>
    </w:p>
    <w:p w:rsidR="00261842" w:rsidRPr="001E4CDF" w:rsidRDefault="00261842">
      <w:pPr>
        <w:pStyle w:val="ListParagraph"/>
        <w:numPr>
          <w:ilvl w:val="0"/>
          <w:numId w:val="45"/>
        </w:numPr>
        <w:spacing w:after="60" w:line="260" w:lineRule="auto"/>
        <w:rPr>
          <w:szCs w:val="24"/>
          <w:lang w:val="sr-Latn-RS"/>
        </w:rPr>
      </w:pPr>
      <w:r w:rsidRPr="001E4CDF">
        <w:rPr>
          <w:szCs w:val="24"/>
          <w:lang w:val="sr-Latn-RS"/>
        </w:rPr>
        <w:t>Sprovodi i stara se o izvršavanju odluka i drugih akata Skupštine opštine,</w:t>
      </w:r>
    </w:p>
    <w:p w:rsidR="00261842" w:rsidRPr="001E4CDF" w:rsidRDefault="00261842">
      <w:pPr>
        <w:pStyle w:val="ListParagraph"/>
        <w:numPr>
          <w:ilvl w:val="0"/>
          <w:numId w:val="45"/>
        </w:numPr>
        <w:spacing w:after="60" w:line="260" w:lineRule="auto"/>
        <w:rPr>
          <w:szCs w:val="24"/>
          <w:lang w:val="sr-Latn-RS"/>
        </w:rPr>
      </w:pPr>
      <w:r w:rsidRPr="001E4CDF">
        <w:rPr>
          <w:szCs w:val="24"/>
          <w:lang w:val="sr-Latn-RS"/>
        </w:rPr>
        <w:t>Donosi odluku o privremenom finansiranju,</w:t>
      </w:r>
    </w:p>
    <w:p w:rsidR="00261842" w:rsidRPr="001E4CDF" w:rsidRDefault="00261842">
      <w:pPr>
        <w:pStyle w:val="ListParagraph"/>
        <w:numPr>
          <w:ilvl w:val="0"/>
          <w:numId w:val="45"/>
        </w:numPr>
        <w:spacing w:after="60" w:line="260" w:lineRule="auto"/>
        <w:rPr>
          <w:szCs w:val="24"/>
          <w:lang w:val="sr-Latn-RS"/>
        </w:rPr>
      </w:pPr>
      <w:r w:rsidRPr="001E4CDF">
        <w:rPr>
          <w:szCs w:val="24"/>
          <w:lang w:val="sr-Latn-RS"/>
        </w:rPr>
        <w:t>Vrši nadzor nad radom opštinske uprave, poništava ili ukida akte opštinske uprave koji nisu u saglasnosti sa zakonom, Statutom i drugim opštim aktom ili odlukom koje donosi Skupština opštine,</w:t>
      </w:r>
    </w:p>
    <w:p w:rsidR="00261842" w:rsidRPr="001E4CDF" w:rsidRDefault="00261842">
      <w:pPr>
        <w:pStyle w:val="ListParagraph"/>
        <w:numPr>
          <w:ilvl w:val="0"/>
          <w:numId w:val="45"/>
        </w:numPr>
        <w:spacing w:after="60" w:line="260" w:lineRule="auto"/>
        <w:rPr>
          <w:szCs w:val="24"/>
          <w:lang w:val="sr-Latn-RS"/>
        </w:rPr>
      </w:pPr>
      <w:r w:rsidRPr="001E4CDF">
        <w:rPr>
          <w:szCs w:val="24"/>
          <w:lang w:val="sr-Latn-RS"/>
        </w:rPr>
        <w:t>Rešava u upravnom postupku u drugom stepenu o pravima i obavezama građana, preduzeća i ustanova i drugih organizacija u upravnim stvarima iz nadležnosti Opštine,</w:t>
      </w:r>
    </w:p>
    <w:p w:rsidR="00261842" w:rsidRPr="001E4CDF" w:rsidRDefault="00261842">
      <w:pPr>
        <w:pStyle w:val="ListParagraph"/>
        <w:numPr>
          <w:ilvl w:val="0"/>
          <w:numId w:val="45"/>
        </w:numPr>
        <w:spacing w:after="60" w:line="260" w:lineRule="auto"/>
        <w:rPr>
          <w:szCs w:val="24"/>
          <w:lang w:val="sr-Latn-RS"/>
        </w:rPr>
      </w:pPr>
      <w:r w:rsidRPr="001E4CDF">
        <w:rPr>
          <w:szCs w:val="24"/>
          <w:lang w:val="sr-Latn-RS"/>
        </w:rPr>
        <w:t xml:space="preserve">Stara se o izvršavanju poverenih nadležnosti iz okvira prava i dužnosti Grada ili Republike. </w:t>
      </w:r>
    </w:p>
    <w:p w:rsidR="00261842" w:rsidRPr="001E4CDF" w:rsidRDefault="00261842">
      <w:pPr>
        <w:pStyle w:val="ListParagraph"/>
        <w:numPr>
          <w:ilvl w:val="0"/>
          <w:numId w:val="45"/>
        </w:numPr>
        <w:spacing w:after="60" w:line="260" w:lineRule="auto"/>
        <w:rPr>
          <w:szCs w:val="24"/>
          <w:lang w:val="sr-Latn-RS"/>
        </w:rPr>
      </w:pPr>
      <w:r w:rsidRPr="001E4CDF">
        <w:rPr>
          <w:szCs w:val="24"/>
          <w:lang w:val="sr-Latn-RS"/>
        </w:rPr>
        <w:t>Postavlja i razrešava načelnike i zamenike načelnika opštinske uprave,</w:t>
      </w:r>
    </w:p>
    <w:p w:rsidR="00261842" w:rsidRPr="001E4CDF" w:rsidRDefault="00261842">
      <w:pPr>
        <w:pStyle w:val="ListParagraph"/>
        <w:numPr>
          <w:ilvl w:val="0"/>
          <w:numId w:val="45"/>
        </w:numPr>
        <w:spacing w:after="60" w:line="260" w:lineRule="auto"/>
        <w:rPr>
          <w:szCs w:val="24"/>
          <w:lang w:val="sr-Latn-RS"/>
        </w:rPr>
      </w:pPr>
      <w:r w:rsidRPr="001E4CDF">
        <w:rPr>
          <w:szCs w:val="24"/>
          <w:lang w:val="sr-Latn-RS"/>
        </w:rPr>
        <w:t xml:space="preserve">Vrši i druge poslove </w:t>
      </w:r>
      <w:proofErr w:type="spellStart"/>
      <w:r w:rsidRPr="001E4CDF">
        <w:rPr>
          <w:szCs w:val="24"/>
          <w:lang w:val="sr-Latn-RS"/>
        </w:rPr>
        <w:t>utvrđne</w:t>
      </w:r>
      <w:proofErr w:type="spellEnd"/>
      <w:r w:rsidRPr="001E4CDF">
        <w:rPr>
          <w:szCs w:val="24"/>
          <w:lang w:val="sr-Latn-RS"/>
        </w:rPr>
        <w:t xml:space="preserve"> zakonom i opštinskim Statutom.</w:t>
      </w:r>
    </w:p>
    <w:p w:rsidR="00261842" w:rsidRPr="001E4CDF" w:rsidRDefault="00261842">
      <w:pPr>
        <w:spacing w:after="60"/>
        <w:rPr>
          <w:szCs w:val="24"/>
          <w:lang w:val="sr-Latn-RS"/>
        </w:rPr>
      </w:pPr>
    </w:p>
    <w:p w:rsidR="00261842" w:rsidRPr="001E4CDF" w:rsidRDefault="00261842">
      <w:pPr>
        <w:spacing w:after="60" w:line="260" w:lineRule="auto"/>
        <w:rPr>
          <w:szCs w:val="24"/>
          <w:lang w:val="sr-Latn-RS"/>
        </w:rPr>
      </w:pPr>
      <w:r w:rsidRPr="001E4CDF">
        <w:rPr>
          <w:b/>
          <w:szCs w:val="24"/>
          <w:lang w:val="sr-Latn-RS"/>
        </w:rPr>
        <w:t xml:space="preserve">Skupština opštine </w:t>
      </w:r>
      <w:r w:rsidRPr="001E4CDF">
        <w:rPr>
          <w:szCs w:val="24"/>
          <w:lang w:val="sr-Latn-RS"/>
        </w:rPr>
        <w:t>koja</w:t>
      </w:r>
      <w:r w:rsidRPr="001E4CDF">
        <w:rPr>
          <w:b/>
          <w:szCs w:val="24"/>
          <w:lang w:val="sr-Latn-RS"/>
        </w:rPr>
        <w:t xml:space="preserve"> </w:t>
      </w:r>
      <w:r w:rsidRPr="001E4CDF">
        <w:rPr>
          <w:szCs w:val="24"/>
          <w:lang w:val="sr-Latn-RS"/>
        </w:rPr>
        <w:t xml:space="preserve">je predstavničko telo bavi se  </w:t>
      </w:r>
    </w:p>
    <w:p w:rsidR="00261842" w:rsidRPr="001E4CDF" w:rsidRDefault="00261842">
      <w:pPr>
        <w:pStyle w:val="ListParagraph"/>
        <w:numPr>
          <w:ilvl w:val="0"/>
          <w:numId w:val="46"/>
        </w:numPr>
        <w:spacing w:after="60" w:line="260" w:lineRule="auto"/>
        <w:rPr>
          <w:szCs w:val="24"/>
          <w:lang w:val="sr-Latn-RS"/>
        </w:rPr>
      </w:pPr>
      <w:r w:rsidRPr="001E4CDF">
        <w:rPr>
          <w:szCs w:val="24"/>
          <w:lang w:val="sr-Latn-RS"/>
        </w:rPr>
        <w:t xml:space="preserve">Opštinskim statutom, odlukama gradskog veća i drugim opštinskim propisima, </w:t>
      </w:r>
    </w:p>
    <w:p w:rsidR="00261842" w:rsidRPr="001E4CDF" w:rsidRDefault="00261842">
      <w:pPr>
        <w:pStyle w:val="ListParagraph"/>
        <w:numPr>
          <w:ilvl w:val="0"/>
          <w:numId w:val="46"/>
        </w:numPr>
        <w:spacing w:after="60" w:line="260" w:lineRule="auto"/>
        <w:rPr>
          <w:szCs w:val="24"/>
          <w:lang w:val="sr-Latn-RS"/>
        </w:rPr>
      </w:pPr>
      <w:r w:rsidRPr="001E4CDF">
        <w:rPr>
          <w:szCs w:val="24"/>
          <w:lang w:val="sr-Latn-RS"/>
        </w:rPr>
        <w:t xml:space="preserve">Donosi budžet, rebalans budžeta (ako je neophodan) i završni račun, </w:t>
      </w:r>
    </w:p>
    <w:p w:rsidR="00261842" w:rsidRPr="001E4CDF" w:rsidRDefault="00261842">
      <w:pPr>
        <w:pStyle w:val="ListParagraph"/>
        <w:numPr>
          <w:ilvl w:val="0"/>
          <w:numId w:val="46"/>
        </w:numPr>
        <w:spacing w:after="60" w:line="260" w:lineRule="auto"/>
        <w:rPr>
          <w:szCs w:val="24"/>
          <w:lang w:val="sr-Latn-RS"/>
        </w:rPr>
      </w:pPr>
      <w:r w:rsidRPr="001E4CDF">
        <w:rPr>
          <w:szCs w:val="24"/>
          <w:lang w:val="sr-Latn-RS"/>
        </w:rPr>
        <w:t xml:space="preserve">Razvojnim i ostalim planovima i programima, </w:t>
      </w:r>
    </w:p>
    <w:p w:rsidR="00261842" w:rsidRPr="001E4CDF" w:rsidRDefault="00261842">
      <w:pPr>
        <w:pStyle w:val="ListParagraph"/>
        <w:numPr>
          <w:ilvl w:val="0"/>
          <w:numId w:val="46"/>
        </w:numPr>
        <w:spacing w:after="60" w:line="260" w:lineRule="auto"/>
        <w:rPr>
          <w:szCs w:val="24"/>
          <w:lang w:val="sr-Latn-RS"/>
        </w:rPr>
      </w:pPr>
      <w:r w:rsidRPr="001E4CDF">
        <w:rPr>
          <w:szCs w:val="24"/>
          <w:lang w:val="sr-Latn-RS"/>
        </w:rPr>
        <w:t xml:space="preserve">Vrši nadzor rada Gradonačelnika i pružanja administrativnih usluga, </w:t>
      </w:r>
    </w:p>
    <w:p w:rsidR="00261842" w:rsidRPr="001E4CDF" w:rsidRDefault="00261842">
      <w:pPr>
        <w:pStyle w:val="ListParagraph"/>
        <w:numPr>
          <w:ilvl w:val="0"/>
          <w:numId w:val="46"/>
        </w:numPr>
        <w:spacing w:after="60" w:line="260" w:lineRule="auto"/>
        <w:rPr>
          <w:szCs w:val="24"/>
          <w:lang w:val="sr-Latn-RS"/>
        </w:rPr>
      </w:pPr>
      <w:r w:rsidRPr="001E4CDF">
        <w:rPr>
          <w:szCs w:val="24"/>
          <w:lang w:val="sr-Latn-RS"/>
        </w:rPr>
        <w:t xml:space="preserve">Imenuje rukovodstvo Skupštine (predsednika, potpredsednika i sekretara Skupštine), </w:t>
      </w:r>
    </w:p>
    <w:p w:rsidR="00261842" w:rsidRPr="001E4CDF" w:rsidRDefault="00261842">
      <w:pPr>
        <w:pStyle w:val="ListParagraph"/>
        <w:numPr>
          <w:ilvl w:val="0"/>
          <w:numId w:val="46"/>
        </w:numPr>
        <w:spacing w:after="60" w:line="260" w:lineRule="auto"/>
        <w:rPr>
          <w:szCs w:val="24"/>
          <w:lang w:val="sr-Latn-RS"/>
        </w:rPr>
      </w:pPr>
      <w:r w:rsidRPr="001E4CDF">
        <w:rPr>
          <w:szCs w:val="24"/>
          <w:lang w:val="sr-Latn-RS"/>
        </w:rPr>
        <w:t xml:space="preserve">Utvrđuje Pravilnik o radu, donosi odluku o obeležjima opštine i vrši druge poslove koje propisuje zakon i statut opštine. </w:t>
      </w:r>
    </w:p>
    <w:p w:rsidR="00261842" w:rsidRPr="001E4CDF" w:rsidRDefault="00261842">
      <w:pPr>
        <w:pStyle w:val="ListParagraph"/>
        <w:numPr>
          <w:ilvl w:val="0"/>
          <w:numId w:val="46"/>
        </w:numPr>
        <w:spacing w:line="240" w:lineRule="auto"/>
        <w:rPr>
          <w:szCs w:val="24"/>
          <w:lang w:val="sr-Latn-RS"/>
        </w:rPr>
      </w:pPr>
      <w:r w:rsidRPr="001E4CDF">
        <w:rPr>
          <w:szCs w:val="24"/>
          <w:lang w:val="sr-Latn-RS"/>
        </w:rPr>
        <w:t>Imenuje i raspušta nadzorni odbor, imenuje i raspušta direktore javnih preduzeća, institucija, organizacija i agencija čiji je opština osnivač, usvaja njihove statute, u skladu sa zakonom,</w:t>
      </w:r>
    </w:p>
    <w:p w:rsidR="00261842" w:rsidRPr="001E4CDF" w:rsidRDefault="00261842">
      <w:pPr>
        <w:pStyle w:val="ListParagraph"/>
        <w:numPr>
          <w:ilvl w:val="0"/>
          <w:numId w:val="46"/>
        </w:numPr>
        <w:spacing w:after="60" w:line="260" w:lineRule="auto"/>
        <w:rPr>
          <w:szCs w:val="24"/>
          <w:lang w:val="sr-Latn-RS"/>
        </w:rPr>
      </w:pPr>
      <w:r w:rsidRPr="001E4CDF">
        <w:rPr>
          <w:szCs w:val="24"/>
          <w:lang w:val="sr-Latn-RS"/>
        </w:rPr>
        <w:t>Utvrđuje opštinske poreze i ostale lokalne izvore prihoda.</w:t>
      </w:r>
    </w:p>
    <w:p w:rsidR="00261842" w:rsidRPr="001E4CDF" w:rsidRDefault="00261842">
      <w:pPr>
        <w:spacing w:after="60" w:line="260" w:lineRule="auto"/>
        <w:rPr>
          <w:szCs w:val="24"/>
          <w:lang w:val="sr-Latn-RS"/>
        </w:rPr>
      </w:pPr>
      <w:r w:rsidRPr="001E4CDF">
        <w:rPr>
          <w:szCs w:val="24"/>
          <w:lang w:val="sr-Latn-RS"/>
        </w:rPr>
        <w:t>Skupštinу opštine čine odbornici koji se biraju na četiri godine, u skladu sa propisima koji uređuju ovu oblast.</w:t>
      </w:r>
    </w:p>
    <w:p w:rsidR="00261842" w:rsidRPr="001E4CDF" w:rsidRDefault="00261842">
      <w:pPr>
        <w:spacing w:after="60"/>
        <w:rPr>
          <w:szCs w:val="24"/>
          <w:lang w:val="sr-Latn-RS"/>
        </w:rPr>
      </w:pPr>
    </w:p>
    <w:p w:rsidR="00261842" w:rsidRPr="001E4CDF" w:rsidRDefault="00261842">
      <w:pPr>
        <w:spacing w:after="60" w:line="260" w:lineRule="auto"/>
        <w:rPr>
          <w:szCs w:val="24"/>
          <w:lang w:val="sr-Latn-RS"/>
        </w:rPr>
      </w:pPr>
      <w:r w:rsidRPr="001E4CDF">
        <w:rPr>
          <w:szCs w:val="24"/>
          <w:lang w:val="sr-Latn-RS"/>
        </w:rPr>
        <w:t>Pravni okvir:</w:t>
      </w:r>
    </w:p>
    <w:p w:rsidR="00261842" w:rsidRPr="005700D9" w:rsidRDefault="00261842">
      <w:pPr>
        <w:numPr>
          <w:ilvl w:val="0"/>
          <w:numId w:val="37"/>
        </w:numPr>
        <w:spacing w:after="60" w:line="240" w:lineRule="auto"/>
        <w:rPr>
          <w:szCs w:val="24"/>
          <w:lang w:val="sr-Latn-RS"/>
        </w:rPr>
      </w:pPr>
      <w:r w:rsidRPr="005700D9">
        <w:rPr>
          <w:szCs w:val="24"/>
          <w:lang w:val="sr-Latn-RS"/>
        </w:rPr>
        <w:t>Ustav Republike Srbije, 2006</w:t>
      </w:r>
    </w:p>
    <w:p w:rsidR="00261842" w:rsidRPr="001E4CDF" w:rsidRDefault="00261842">
      <w:pPr>
        <w:numPr>
          <w:ilvl w:val="0"/>
          <w:numId w:val="36"/>
        </w:numPr>
        <w:spacing w:after="60" w:line="240" w:lineRule="auto"/>
        <w:rPr>
          <w:szCs w:val="24"/>
          <w:lang w:val="sr-Latn-RS"/>
        </w:rPr>
      </w:pPr>
      <w:r w:rsidRPr="005700D9">
        <w:rPr>
          <w:szCs w:val="24"/>
          <w:lang w:val="sr-Latn-RS"/>
        </w:rPr>
        <w:t>Zakon o lokalnoj samoupravi</w:t>
      </w:r>
      <w:r w:rsidRPr="001E4CDF">
        <w:rPr>
          <w:b/>
          <w:szCs w:val="24"/>
          <w:lang w:val="sr-Latn-RS"/>
        </w:rPr>
        <w:t xml:space="preserve"> </w:t>
      </w:r>
      <w:r w:rsidRPr="001E4CDF">
        <w:rPr>
          <w:szCs w:val="24"/>
          <w:lang w:val="sr-Latn-RS"/>
        </w:rPr>
        <w:t>(„Službeni glasnik RS“ br. 129/2007)</w:t>
      </w:r>
    </w:p>
    <w:p w:rsidR="00261842" w:rsidRPr="001E4CDF" w:rsidRDefault="00261842">
      <w:pPr>
        <w:pStyle w:val="CommentText"/>
        <w:numPr>
          <w:ilvl w:val="0"/>
          <w:numId w:val="36"/>
        </w:numPr>
        <w:rPr>
          <w:rFonts w:ascii="SimSun"/>
          <w:color w:val="000000"/>
          <w:sz w:val="24"/>
          <w:szCs w:val="24"/>
          <w:lang w:val="sr-Latn-RS"/>
        </w:rPr>
      </w:pPr>
      <w:r w:rsidRPr="001E4CDF">
        <w:rPr>
          <w:color w:val="000000"/>
          <w:sz w:val="24"/>
          <w:szCs w:val="24"/>
          <w:lang w:val="sr-Latn-RS"/>
        </w:rPr>
        <w:t>Zakon o finansiranju lokalne samouprave</w:t>
      </w:r>
    </w:p>
    <w:p w:rsidR="00261842" w:rsidRPr="001E4CDF" w:rsidRDefault="00261842">
      <w:pPr>
        <w:numPr>
          <w:ilvl w:val="0"/>
          <w:numId w:val="36"/>
        </w:numPr>
        <w:spacing w:after="60" w:line="240" w:lineRule="auto"/>
        <w:rPr>
          <w:szCs w:val="24"/>
          <w:lang w:val="sr-Latn-RS"/>
        </w:rPr>
      </w:pPr>
      <w:r w:rsidRPr="001E4CDF">
        <w:rPr>
          <w:color w:val="000000"/>
          <w:szCs w:val="24"/>
          <w:lang w:val="sr-Latn-RS"/>
        </w:rPr>
        <w:lastRenderedPageBreak/>
        <w:t>Zakon o porezu na imovinu</w:t>
      </w:r>
    </w:p>
    <w:p w:rsidR="00261842" w:rsidRPr="001E4CDF" w:rsidRDefault="00261842">
      <w:pPr>
        <w:pStyle w:val="ListParagraph"/>
        <w:numPr>
          <w:ilvl w:val="0"/>
          <w:numId w:val="36"/>
        </w:numPr>
        <w:spacing w:line="280" w:lineRule="auto"/>
        <w:rPr>
          <w:szCs w:val="24"/>
          <w:lang w:val="sr-Latn-RS"/>
        </w:rPr>
      </w:pPr>
      <w:r w:rsidRPr="001E4CDF">
        <w:rPr>
          <w:szCs w:val="24"/>
          <w:lang w:val="sr-Latn-RS"/>
        </w:rPr>
        <w:t>Statut opštine (Odluka Skupštine br. 060-36/2008 od 11. 10. 2008)</w:t>
      </w:r>
    </w:p>
    <w:p w:rsidR="00261842" w:rsidRPr="001E4CDF" w:rsidRDefault="00261842">
      <w:pPr>
        <w:spacing w:line="240" w:lineRule="auto"/>
        <w:rPr>
          <w:szCs w:val="24"/>
          <w:lang w:val="sr-Latn-RS"/>
        </w:rPr>
      </w:pPr>
      <w:r w:rsidRPr="001E4CDF">
        <w:rPr>
          <w:szCs w:val="24"/>
          <w:lang w:val="sr-Latn-RS"/>
        </w:rPr>
        <w:br w:type="page"/>
      </w:r>
    </w:p>
    <w:p w:rsidR="00261842" w:rsidRPr="001E4CDF" w:rsidRDefault="00261842">
      <w:pPr>
        <w:pStyle w:val="TOCHeading"/>
        <w:jc w:val="center"/>
        <w:rPr>
          <w:bCs w:val="0"/>
          <w:szCs w:val="24"/>
          <w:lang w:val="sr-Latn-RS"/>
        </w:rPr>
      </w:pPr>
      <w:r w:rsidRPr="001E4CDF">
        <w:rPr>
          <w:bCs w:val="0"/>
          <w:szCs w:val="24"/>
          <w:lang w:val="sr-Latn-RS"/>
        </w:rPr>
        <w:lastRenderedPageBreak/>
        <w:t>Sadržaj</w:t>
      </w:r>
    </w:p>
    <w:p w:rsidR="00A355DD" w:rsidRDefault="00261842">
      <w:pPr>
        <w:pStyle w:val="TOC1"/>
        <w:rPr>
          <w:rFonts w:asciiTheme="minorHAnsi" w:eastAsiaTheme="minorEastAsia" w:hAnsiTheme="minorHAnsi" w:cstheme="minorBidi"/>
          <w:noProof/>
          <w:sz w:val="22"/>
          <w:szCs w:val="22"/>
          <w:lang w:val="sr-Latn-RS"/>
        </w:rPr>
      </w:pPr>
      <w:r w:rsidRPr="001E4CDF">
        <w:rPr>
          <w:szCs w:val="24"/>
          <w:lang w:val="sr-Latn-RS"/>
        </w:rPr>
        <w:fldChar w:fldCharType="begin"/>
      </w:r>
      <w:r w:rsidRPr="001E4CDF">
        <w:rPr>
          <w:szCs w:val="24"/>
          <w:lang w:val="sr-Latn-RS"/>
        </w:rPr>
        <w:instrText xml:space="preserve"> TOC \o "1-3" \h \z \u </w:instrText>
      </w:r>
      <w:r w:rsidRPr="001E4CDF">
        <w:rPr>
          <w:szCs w:val="24"/>
          <w:lang w:val="sr-Latn-RS"/>
        </w:rPr>
        <w:fldChar w:fldCharType="separate"/>
      </w:r>
      <w:hyperlink w:anchor="_Toc421138240" w:history="1">
        <w:r w:rsidR="00A355DD" w:rsidRPr="00DC1E3C">
          <w:rPr>
            <w:rStyle w:val="Hyperlink"/>
            <w:noProof/>
            <w:lang w:val="sr-Latn-RS"/>
          </w:rPr>
          <w:t>Skraćenice</w:t>
        </w:r>
        <w:r w:rsidR="00A355DD">
          <w:rPr>
            <w:noProof/>
            <w:webHidden/>
          </w:rPr>
          <w:tab/>
        </w:r>
        <w:r w:rsidR="00A355DD">
          <w:rPr>
            <w:noProof/>
            <w:webHidden/>
          </w:rPr>
          <w:fldChar w:fldCharType="begin"/>
        </w:r>
        <w:r w:rsidR="00A355DD">
          <w:rPr>
            <w:noProof/>
            <w:webHidden/>
          </w:rPr>
          <w:instrText xml:space="preserve"> PAGEREF _Toc421138240 \h </w:instrText>
        </w:r>
        <w:r w:rsidR="00A355DD">
          <w:rPr>
            <w:noProof/>
            <w:webHidden/>
          </w:rPr>
        </w:r>
        <w:r w:rsidR="00A355DD">
          <w:rPr>
            <w:noProof/>
            <w:webHidden/>
          </w:rPr>
          <w:fldChar w:fldCharType="separate"/>
        </w:r>
        <w:r w:rsidR="00A355DD">
          <w:rPr>
            <w:noProof/>
            <w:webHidden/>
          </w:rPr>
          <w:t>3</w:t>
        </w:r>
        <w:r w:rsidR="00A355DD">
          <w:rPr>
            <w:noProof/>
            <w:webHidden/>
          </w:rPr>
          <w:fldChar w:fldCharType="end"/>
        </w:r>
      </w:hyperlink>
    </w:p>
    <w:p w:rsidR="00A355DD" w:rsidRDefault="00025057">
      <w:pPr>
        <w:pStyle w:val="TOC3"/>
        <w:rPr>
          <w:rFonts w:asciiTheme="minorHAnsi" w:eastAsiaTheme="minorEastAsia" w:hAnsiTheme="minorHAnsi" w:cstheme="minorBidi"/>
          <w:noProof/>
          <w:sz w:val="22"/>
          <w:szCs w:val="22"/>
          <w:lang w:val="sr-Latn-RS"/>
        </w:rPr>
      </w:pPr>
      <w:hyperlink w:anchor="_Toc421138241" w:history="1">
        <w:r w:rsidR="00A355DD" w:rsidRPr="00DC1E3C">
          <w:rPr>
            <w:rStyle w:val="Hyperlink"/>
            <w:noProof/>
            <w:lang w:val="sr-Latn-RS"/>
          </w:rPr>
          <w:t>Uvod</w:t>
        </w:r>
        <w:r w:rsidR="00A355DD">
          <w:rPr>
            <w:noProof/>
            <w:webHidden/>
          </w:rPr>
          <w:tab/>
        </w:r>
        <w:r w:rsidR="00A355DD">
          <w:rPr>
            <w:noProof/>
            <w:webHidden/>
          </w:rPr>
          <w:fldChar w:fldCharType="begin"/>
        </w:r>
        <w:r w:rsidR="00A355DD">
          <w:rPr>
            <w:noProof/>
            <w:webHidden/>
          </w:rPr>
          <w:instrText xml:space="preserve"> PAGEREF _Toc421138241 \h </w:instrText>
        </w:r>
        <w:r w:rsidR="00A355DD">
          <w:rPr>
            <w:noProof/>
            <w:webHidden/>
          </w:rPr>
        </w:r>
        <w:r w:rsidR="00A355DD">
          <w:rPr>
            <w:noProof/>
            <w:webHidden/>
          </w:rPr>
          <w:fldChar w:fldCharType="separate"/>
        </w:r>
        <w:r w:rsidR="00A355DD">
          <w:rPr>
            <w:noProof/>
            <w:webHidden/>
          </w:rPr>
          <w:t>5</w:t>
        </w:r>
        <w:r w:rsidR="00A355DD">
          <w:rPr>
            <w:noProof/>
            <w:webHidden/>
          </w:rPr>
          <w:fldChar w:fldCharType="end"/>
        </w:r>
      </w:hyperlink>
    </w:p>
    <w:p w:rsidR="00A355DD" w:rsidRDefault="00025057">
      <w:pPr>
        <w:pStyle w:val="TOC1"/>
        <w:rPr>
          <w:rFonts w:asciiTheme="minorHAnsi" w:eastAsiaTheme="minorEastAsia" w:hAnsiTheme="minorHAnsi" w:cstheme="minorBidi"/>
          <w:noProof/>
          <w:sz w:val="22"/>
          <w:szCs w:val="22"/>
          <w:lang w:val="sr-Latn-RS"/>
        </w:rPr>
      </w:pPr>
      <w:hyperlink w:anchor="_Toc421138242" w:history="1">
        <w:r w:rsidR="00A355DD" w:rsidRPr="00DC1E3C">
          <w:rPr>
            <w:rStyle w:val="Hyperlink"/>
            <w:noProof/>
            <w:lang w:val="sr-Latn-RS"/>
          </w:rPr>
          <w:t>Zbirna ocena</w:t>
        </w:r>
        <w:r w:rsidR="00A355DD">
          <w:rPr>
            <w:noProof/>
            <w:webHidden/>
          </w:rPr>
          <w:tab/>
        </w:r>
        <w:r w:rsidR="00A355DD">
          <w:rPr>
            <w:noProof/>
            <w:webHidden/>
          </w:rPr>
          <w:fldChar w:fldCharType="begin"/>
        </w:r>
        <w:r w:rsidR="00A355DD">
          <w:rPr>
            <w:noProof/>
            <w:webHidden/>
          </w:rPr>
          <w:instrText xml:space="preserve"> PAGEREF _Toc421138242 \h </w:instrText>
        </w:r>
        <w:r w:rsidR="00A355DD">
          <w:rPr>
            <w:noProof/>
            <w:webHidden/>
          </w:rPr>
        </w:r>
        <w:r w:rsidR="00A355DD">
          <w:rPr>
            <w:noProof/>
            <w:webHidden/>
          </w:rPr>
          <w:fldChar w:fldCharType="separate"/>
        </w:r>
        <w:r w:rsidR="00A355DD">
          <w:rPr>
            <w:noProof/>
            <w:webHidden/>
          </w:rPr>
          <w:t>12</w:t>
        </w:r>
        <w:r w:rsidR="00A355DD">
          <w:rPr>
            <w:noProof/>
            <w:webHidden/>
          </w:rPr>
          <w:fldChar w:fldCharType="end"/>
        </w:r>
      </w:hyperlink>
    </w:p>
    <w:p w:rsidR="00A355DD" w:rsidRDefault="00025057">
      <w:pPr>
        <w:pStyle w:val="TOC1"/>
        <w:rPr>
          <w:rFonts w:asciiTheme="minorHAnsi" w:eastAsiaTheme="minorEastAsia" w:hAnsiTheme="minorHAnsi" w:cstheme="minorBidi"/>
          <w:noProof/>
          <w:sz w:val="22"/>
          <w:szCs w:val="22"/>
          <w:lang w:val="sr-Latn-RS"/>
        </w:rPr>
      </w:pPr>
      <w:hyperlink w:anchor="_Toc421138243" w:history="1">
        <w:r w:rsidR="00A355DD" w:rsidRPr="00DC1E3C">
          <w:rPr>
            <w:rStyle w:val="Hyperlink"/>
            <w:noProof/>
            <w:lang w:val="sr-Latn-RS"/>
          </w:rPr>
          <w:t>Ocena sistema, procesa i institucija za upravljanje javnim finansijama</w:t>
        </w:r>
        <w:r w:rsidR="00A355DD">
          <w:rPr>
            <w:noProof/>
            <w:webHidden/>
          </w:rPr>
          <w:tab/>
        </w:r>
        <w:r w:rsidR="00A355DD">
          <w:rPr>
            <w:noProof/>
            <w:webHidden/>
          </w:rPr>
          <w:fldChar w:fldCharType="begin"/>
        </w:r>
        <w:r w:rsidR="00A355DD">
          <w:rPr>
            <w:noProof/>
            <w:webHidden/>
          </w:rPr>
          <w:instrText xml:space="preserve"> PAGEREF _Toc421138243 \h </w:instrText>
        </w:r>
        <w:r w:rsidR="00A355DD">
          <w:rPr>
            <w:noProof/>
            <w:webHidden/>
          </w:rPr>
        </w:r>
        <w:r w:rsidR="00A355DD">
          <w:rPr>
            <w:noProof/>
            <w:webHidden/>
          </w:rPr>
          <w:fldChar w:fldCharType="separate"/>
        </w:r>
        <w:r w:rsidR="00A355DD">
          <w:rPr>
            <w:noProof/>
            <w:webHidden/>
          </w:rPr>
          <w:t>17</w:t>
        </w:r>
        <w:r w:rsidR="00A355DD">
          <w:rPr>
            <w:noProof/>
            <w:webHidden/>
          </w:rPr>
          <w:fldChar w:fldCharType="end"/>
        </w:r>
      </w:hyperlink>
    </w:p>
    <w:p w:rsidR="00A355DD" w:rsidRDefault="00025057">
      <w:pPr>
        <w:pStyle w:val="TOC2"/>
        <w:rPr>
          <w:rFonts w:asciiTheme="minorHAnsi" w:eastAsiaTheme="minorEastAsia" w:hAnsiTheme="minorHAnsi" w:cstheme="minorBidi"/>
          <w:noProof/>
          <w:sz w:val="22"/>
          <w:szCs w:val="22"/>
          <w:lang w:val="sr-Latn-RS"/>
        </w:rPr>
      </w:pPr>
      <w:hyperlink w:anchor="_Toc421138244" w:history="1">
        <w:r w:rsidR="00A355DD" w:rsidRPr="00DC1E3C">
          <w:rPr>
            <w:rStyle w:val="Hyperlink"/>
            <w:noProof/>
            <w:lang w:val="sr-Latn-RS"/>
          </w:rPr>
          <w:t>HLG-1 Predvidljivost transfera od viših nivoa vlasti</w:t>
        </w:r>
        <w:r w:rsidR="00A355DD">
          <w:rPr>
            <w:noProof/>
            <w:webHidden/>
          </w:rPr>
          <w:tab/>
        </w:r>
        <w:r w:rsidR="00A355DD">
          <w:rPr>
            <w:noProof/>
            <w:webHidden/>
          </w:rPr>
          <w:fldChar w:fldCharType="begin"/>
        </w:r>
        <w:r w:rsidR="00A355DD">
          <w:rPr>
            <w:noProof/>
            <w:webHidden/>
          </w:rPr>
          <w:instrText xml:space="preserve"> PAGEREF _Toc421138244 \h </w:instrText>
        </w:r>
        <w:r w:rsidR="00A355DD">
          <w:rPr>
            <w:noProof/>
            <w:webHidden/>
          </w:rPr>
        </w:r>
        <w:r w:rsidR="00A355DD">
          <w:rPr>
            <w:noProof/>
            <w:webHidden/>
          </w:rPr>
          <w:fldChar w:fldCharType="separate"/>
        </w:r>
        <w:r w:rsidR="00A355DD">
          <w:rPr>
            <w:noProof/>
            <w:webHidden/>
          </w:rPr>
          <w:t>17</w:t>
        </w:r>
        <w:r w:rsidR="00A355DD">
          <w:rPr>
            <w:noProof/>
            <w:webHidden/>
          </w:rPr>
          <w:fldChar w:fldCharType="end"/>
        </w:r>
      </w:hyperlink>
    </w:p>
    <w:p w:rsidR="00A355DD" w:rsidRDefault="00025057">
      <w:pPr>
        <w:pStyle w:val="TOC2"/>
        <w:rPr>
          <w:rFonts w:asciiTheme="minorHAnsi" w:eastAsiaTheme="minorEastAsia" w:hAnsiTheme="minorHAnsi" w:cstheme="minorBidi"/>
          <w:noProof/>
          <w:sz w:val="22"/>
          <w:szCs w:val="22"/>
          <w:lang w:val="sr-Latn-RS"/>
        </w:rPr>
      </w:pPr>
      <w:hyperlink w:anchor="_Toc421138245" w:history="1">
        <w:r w:rsidR="00A355DD" w:rsidRPr="00DC1E3C">
          <w:rPr>
            <w:rStyle w:val="Hyperlink"/>
            <w:noProof/>
            <w:lang w:val="sr-Latn-RS"/>
          </w:rPr>
          <w:t>Pouzdanost budžeta</w:t>
        </w:r>
        <w:r w:rsidR="00A355DD">
          <w:rPr>
            <w:noProof/>
            <w:webHidden/>
          </w:rPr>
          <w:tab/>
        </w:r>
        <w:r w:rsidR="00A355DD">
          <w:rPr>
            <w:noProof/>
            <w:webHidden/>
          </w:rPr>
          <w:fldChar w:fldCharType="begin"/>
        </w:r>
        <w:r w:rsidR="00A355DD">
          <w:rPr>
            <w:noProof/>
            <w:webHidden/>
          </w:rPr>
          <w:instrText xml:space="preserve"> PAGEREF _Toc421138245 \h </w:instrText>
        </w:r>
        <w:r w:rsidR="00A355DD">
          <w:rPr>
            <w:noProof/>
            <w:webHidden/>
          </w:rPr>
        </w:r>
        <w:r w:rsidR="00A355DD">
          <w:rPr>
            <w:noProof/>
            <w:webHidden/>
          </w:rPr>
          <w:fldChar w:fldCharType="separate"/>
        </w:r>
        <w:r w:rsidR="00A355DD">
          <w:rPr>
            <w:noProof/>
            <w:webHidden/>
          </w:rPr>
          <w:t>19</w:t>
        </w:r>
        <w:r w:rsidR="00A355DD">
          <w:rPr>
            <w:noProof/>
            <w:webHidden/>
          </w:rPr>
          <w:fldChar w:fldCharType="end"/>
        </w:r>
      </w:hyperlink>
    </w:p>
    <w:p w:rsidR="00A355DD" w:rsidRDefault="00025057">
      <w:pPr>
        <w:pStyle w:val="TOC2"/>
        <w:rPr>
          <w:rFonts w:asciiTheme="minorHAnsi" w:eastAsiaTheme="minorEastAsia" w:hAnsiTheme="minorHAnsi" w:cstheme="minorBidi"/>
          <w:noProof/>
          <w:sz w:val="22"/>
          <w:szCs w:val="22"/>
          <w:lang w:val="sr-Latn-RS"/>
        </w:rPr>
      </w:pPr>
      <w:hyperlink w:anchor="_Toc421138246" w:history="1">
        <w:r w:rsidR="00A355DD" w:rsidRPr="00DC1E3C">
          <w:rPr>
            <w:rStyle w:val="Hyperlink"/>
            <w:noProof/>
            <w:lang w:val="sr-Latn-RS"/>
          </w:rPr>
          <w:t>Sveobuhvatnost i transparentnost budžeta</w:t>
        </w:r>
        <w:r w:rsidR="00A355DD">
          <w:rPr>
            <w:noProof/>
            <w:webHidden/>
          </w:rPr>
          <w:tab/>
        </w:r>
        <w:r w:rsidR="00A355DD">
          <w:rPr>
            <w:noProof/>
            <w:webHidden/>
          </w:rPr>
          <w:fldChar w:fldCharType="begin"/>
        </w:r>
        <w:r w:rsidR="00A355DD">
          <w:rPr>
            <w:noProof/>
            <w:webHidden/>
          </w:rPr>
          <w:instrText xml:space="preserve"> PAGEREF _Toc421138246 \h </w:instrText>
        </w:r>
        <w:r w:rsidR="00A355DD">
          <w:rPr>
            <w:noProof/>
            <w:webHidden/>
          </w:rPr>
        </w:r>
        <w:r w:rsidR="00A355DD">
          <w:rPr>
            <w:noProof/>
            <w:webHidden/>
          </w:rPr>
          <w:fldChar w:fldCharType="separate"/>
        </w:r>
        <w:r w:rsidR="00A355DD">
          <w:rPr>
            <w:noProof/>
            <w:webHidden/>
          </w:rPr>
          <w:t>24</w:t>
        </w:r>
        <w:r w:rsidR="00A355DD">
          <w:rPr>
            <w:noProof/>
            <w:webHidden/>
          </w:rPr>
          <w:fldChar w:fldCharType="end"/>
        </w:r>
      </w:hyperlink>
    </w:p>
    <w:p w:rsidR="00A355DD" w:rsidRDefault="00025057">
      <w:pPr>
        <w:pStyle w:val="TOC2"/>
        <w:rPr>
          <w:rFonts w:asciiTheme="minorHAnsi" w:eastAsiaTheme="minorEastAsia" w:hAnsiTheme="minorHAnsi" w:cstheme="minorBidi"/>
          <w:noProof/>
          <w:sz w:val="22"/>
          <w:szCs w:val="22"/>
          <w:lang w:val="sr-Latn-RS"/>
        </w:rPr>
      </w:pPr>
      <w:hyperlink w:anchor="_Toc421138247" w:history="1">
        <w:r w:rsidR="00A355DD" w:rsidRPr="00DC1E3C">
          <w:rPr>
            <w:rStyle w:val="Hyperlink"/>
            <w:noProof/>
            <w:lang w:val="sr-Latn-RS"/>
          </w:rPr>
          <w:t>Priprema budžeta u skladu sa definisanim politikama</w:t>
        </w:r>
        <w:r w:rsidR="00A355DD">
          <w:rPr>
            <w:noProof/>
            <w:webHidden/>
          </w:rPr>
          <w:tab/>
        </w:r>
        <w:r w:rsidR="00A355DD">
          <w:rPr>
            <w:noProof/>
            <w:webHidden/>
          </w:rPr>
          <w:fldChar w:fldCharType="begin"/>
        </w:r>
        <w:r w:rsidR="00A355DD">
          <w:rPr>
            <w:noProof/>
            <w:webHidden/>
          </w:rPr>
          <w:instrText xml:space="preserve"> PAGEREF _Toc421138247 \h </w:instrText>
        </w:r>
        <w:r w:rsidR="00A355DD">
          <w:rPr>
            <w:noProof/>
            <w:webHidden/>
          </w:rPr>
        </w:r>
        <w:r w:rsidR="00A355DD">
          <w:rPr>
            <w:noProof/>
            <w:webHidden/>
          </w:rPr>
          <w:fldChar w:fldCharType="separate"/>
        </w:r>
        <w:r w:rsidR="00A355DD">
          <w:rPr>
            <w:noProof/>
            <w:webHidden/>
          </w:rPr>
          <w:t>30</w:t>
        </w:r>
        <w:r w:rsidR="00A355DD">
          <w:rPr>
            <w:noProof/>
            <w:webHidden/>
          </w:rPr>
          <w:fldChar w:fldCharType="end"/>
        </w:r>
      </w:hyperlink>
    </w:p>
    <w:p w:rsidR="00A355DD" w:rsidRDefault="00025057">
      <w:pPr>
        <w:pStyle w:val="TOC2"/>
        <w:rPr>
          <w:rFonts w:asciiTheme="minorHAnsi" w:eastAsiaTheme="minorEastAsia" w:hAnsiTheme="minorHAnsi" w:cstheme="minorBidi"/>
          <w:noProof/>
          <w:sz w:val="22"/>
          <w:szCs w:val="22"/>
          <w:lang w:val="sr-Latn-RS"/>
        </w:rPr>
      </w:pPr>
      <w:hyperlink w:anchor="_Toc421138248" w:history="1">
        <w:r w:rsidR="00A355DD" w:rsidRPr="00DC1E3C">
          <w:rPr>
            <w:rStyle w:val="Hyperlink"/>
            <w:noProof/>
            <w:lang w:val="sr-Latn-RS"/>
          </w:rPr>
          <w:t>Predvidivost i kontrola izvršenja budžeta</w:t>
        </w:r>
        <w:r w:rsidR="00A355DD">
          <w:rPr>
            <w:noProof/>
            <w:webHidden/>
          </w:rPr>
          <w:tab/>
        </w:r>
        <w:r w:rsidR="00A355DD">
          <w:rPr>
            <w:noProof/>
            <w:webHidden/>
          </w:rPr>
          <w:fldChar w:fldCharType="begin"/>
        </w:r>
        <w:r w:rsidR="00A355DD">
          <w:rPr>
            <w:noProof/>
            <w:webHidden/>
          </w:rPr>
          <w:instrText xml:space="preserve"> PAGEREF _Toc421138248 \h </w:instrText>
        </w:r>
        <w:r w:rsidR="00A355DD">
          <w:rPr>
            <w:noProof/>
            <w:webHidden/>
          </w:rPr>
        </w:r>
        <w:r w:rsidR="00A355DD">
          <w:rPr>
            <w:noProof/>
            <w:webHidden/>
          </w:rPr>
          <w:fldChar w:fldCharType="separate"/>
        </w:r>
        <w:r w:rsidR="00A355DD">
          <w:rPr>
            <w:noProof/>
            <w:webHidden/>
          </w:rPr>
          <w:t>35</w:t>
        </w:r>
        <w:r w:rsidR="00A355DD">
          <w:rPr>
            <w:noProof/>
            <w:webHidden/>
          </w:rPr>
          <w:fldChar w:fldCharType="end"/>
        </w:r>
      </w:hyperlink>
    </w:p>
    <w:p w:rsidR="00A355DD" w:rsidRDefault="00025057">
      <w:pPr>
        <w:pStyle w:val="TOC2"/>
        <w:rPr>
          <w:rFonts w:asciiTheme="minorHAnsi" w:eastAsiaTheme="minorEastAsia" w:hAnsiTheme="minorHAnsi" w:cstheme="minorBidi"/>
          <w:noProof/>
          <w:sz w:val="22"/>
          <w:szCs w:val="22"/>
          <w:lang w:val="sr-Latn-RS"/>
        </w:rPr>
      </w:pPr>
      <w:hyperlink w:anchor="_Toc421138249" w:history="1">
        <w:r w:rsidR="00A355DD" w:rsidRPr="00DC1E3C">
          <w:rPr>
            <w:rStyle w:val="Hyperlink"/>
            <w:noProof/>
            <w:lang w:val="sr-Latn-RS"/>
          </w:rPr>
          <w:t>Računovodstvo, evidentiranje i izveštavanje</w:t>
        </w:r>
        <w:r w:rsidR="00A355DD">
          <w:rPr>
            <w:noProof/>
            <w:webHidden/>
          </w:rPr>
          <w:tab/>
        </w:r>
        <w:r w:rsidR="00A355DD">
          <w:rPr>
            <w:noProof/>
            <w:webHidden/>
          </w:rPr>
          <w:fldChar w:fldCharType="begin"/>
        </w:r>
        <w:r w:rsidR="00A355DD">
          <w:rPr>
            <w:noProof/>
            <w:webHidden/>
          </w:rPr>
          <w:instrText xml:space="preserve"> PAGEREF _Toc421138249 \h </w:instrText>
        </w:r>
        <w:r w:rsidR="00A355DD">
          <w:rPr>
            <w:noProof/>
            <w:webHidden/>
          </w:rPr>
        </w:r>
        <w:r w:rsidR="00A355DD">
          <w:rPr>
            <w:noProof/>
            <w:webHidden/>
          </w:rPr>
          <w:fldChar w:fldCharType="separate"/>
        </w:r>
        <w:r w:rsidR="00A355DD">
          <w:rPr>
            <w:noProof/>
            <w:webHidden/>
          </w:rPr>
          <w:t>52</w:t>
        </w:r>
        <w:r w:rsidR="00A355DD">
          <w:rPr>
            <w:noProof/>
            <w:webHidden/>
          </w:rPr>
          <w:fldChar w:fldCharType="end"/>
        </w:r>
      </w:hyperlink>
    </w:p>
    <w:p w:rsidR="00A355DD" w:rsidRDefault="00025057">
      <w:pPr>
        <w:pStyle w:val="TOC2"/>
        <w:rPr>
          <w:rFonts w:asciiTheme="minorHAnsi" w:eastAsiaTheme="minorEastAsia" w:hAnsiTheme="minorHAnsi" w:cstheme="minorBidi"/>
          <w:noProof/>
          <w:sz w:val="22"/>
          <w:szCs w:val="22"/>
          <w:lang w:val="sr-Latn-RS"/>
        </w:rPr>
      </w:pPr>
      <w:hyperlink w:anchor="_Toc421138250" w:history="1">
        <w:r w:rsidR="00A355DD" w:rsidRPr="00DC1E3C">
          <w:rPr>
            <w:rStyle w:val="Hyperlink"/>
            <w:noProof/>
            <w:lang w:val="sr-Latn-RS"/>
          </w:rPr>
          <w:t>Eksterni nadzor i revizija</w:t>
        </w:r>
        <w:r w:rsidR="00A355DD">
          <w:rPr>
            <w:noProof/>
            <w:webHidden/>
          </w:rPr>
          <w:tab/>
        </w:r>
        <w:r w:rsidR="00A355DD">
          <w:rPr>
            <w:noProof/>
            <w:webHidden/>
          </w:rPr>
          <w:fldChar w:fldCharType="begin"/>
        </w:r>
        <w:r w:rsidR="00A355DD">
          <w:rPr>
            <w:noProof/>
            <w:webHidden/>
          </w:rPr>
          <w:instrText xml:space="preserve"> PAGEREF _Toc421138250 \h </w:instrText>
        </w:r>
        <w:r w:rsidR="00A355DD">
          <w:rPr>
            <w:noProof/>
            <w:webHidden/>
          </w:rPr>
        </w:r>
        <w:r w:rsidR="00A355DD">
          <w:rPr>
            <w:noProof/>
            <w:webHidden/>
          </w:rPr>
          <w:fldChar w:fldCharType="separate"/>
        </w:r>
        <w:r w:rsidR="00A355DD">
          <w:rPr>
            <w:noProof/>
            <w:webHidden/>
          </w:rPr>
          <w:t>57</w:t>
        </w:r>
        <w:r w:rsidR="00A355DD">
          <w:rPr>
            <w:noProof/>
            <w:webHidden/>
          </w:rPr>
          <w:fldChar w:fldCharType="end"/>
        </w:r>
      </w:hyperlink>
    </w:p>
    <w:p w:rsidR="00A355DD" w:rsidRDefault="00025057">
      <w:pPr>
        <w:pStyle w:val="TOC2"/>
        <w:rPr>
          <w:rFonts w:asciiTheme="minorHAnsi" w:eastAsiaTheme="minorEastAsia" w:hAnsiTheme="minorHAnsi" w:cstheme="minorBidi"/>
          <w:noProof/>
          <w:sz w:val="22"/>
          <w:szCs w:val="22"/>
          <w:lang w:val="sr-Latn-RS"/>
        </w:rPr>
      </w:pPr>
      <w:hyperlink w:anchor="_Toc421138251" w:history="1">
        <w:r w:rsidR="00A355DD" w:rsidRPr="00DC1E3C">
          <w:rPr>
            <w:rStyle w:val="Hyperlink"/>
            <w:noProof/>
            <w:lang w:val="sr-Latn-RS"/>
          </w:rPr>
          <w:t>Donatorska praksa</w:t>
        </w:r>
        <w:r w:rsidR="00A355DD">
          <w:rPr>
            <w:noProof/>
            <w:webHidden/>
          </w:rPr>
          <w:tab/>
        </w:r>
        <w:r w:rsidR="00A355DD">
          <w:rPr>
            <w:noProof/>
            <w:webHidden/>
          </w:rPr>
          <w:fldChar w:fldCharType="begin"/>
        </w:r>
        <w:r w:rsidR="00A355DD">
          <w:rPr>
            <w:noProof/>
            <w:webHidden/>
          </w:rPr>
          <w:instrText xml:space="preserve"> PAGEREF _Toc421138251 \h </w:instrText>
        </w:r>
        <w:r w:rsidR="00A355DD">
          <w:rPr>
            <w:noProof/>
            <w:webHidden/>
          </w:rPr>
        </w:r>
        <w:r w:rsidR="00A355DD">
          <w:rPr>
            <w:noProof/>
            <w:webHidden/>
          </w:rPr>
          <w:fldChar w:fldCharType="separate"/>
        </w:r>
        <w:r w:rsidR="00A355DD">
          <w:rPr>
            <w:noProof/>
            <w:webHidden/>
          </w:rPr>
          <w:t>60</w:t>
        </w:r>
        <w:r w:rsidR="00A355DD">
          <w:rPr>
            <w:noProof/>
            <w:webHidden/>
          </w:rPr>
          <w:fldChar w:fldCharType="end"/>
        </w:r>
      </w:hyperlink>
    </w:p>
    <w:p w:rsidR="00A355DD" w:rsidRDefault="00025057">
      <w:pPr>
        <w:pStyle w:val="TOC2"/>
        <w:rPr>
          <w:rFonts w:asciiTheme="minorHAnsi" w:eastAsiaTheme="minorEastAsia" w:hAnsiTheme="minorHAnsi" w:cstheme="minorBidi"/>
          <w:noProof/>
          <w:sz w:val="22"/>
          <w:szCs w:val="22"/>
          <w:lang w:val="sr-Latn-RS"/>
        </w:rPr>
      </w:pPr>
      <w:hyperlink w:anchor="_Toc421138252" w:history="1">
        <w:r w:rsidR="00A355DD" w:rsidRPr="00DC1E3C">
          <w:rPr>
            <w:rStyle w:val="Hyperlink"/>
            <w:noProof/>
            <w:lang w:val="sr-Latn-RS"/>
          </w:rPr>
          <w:t>I. Aneksi</w:t>
        </w:r>
        <w:r w:rsidR="00A355DD">
          <w:rPr>
            <w:noProof/>
            <w:webHidden/>
          </w:rPr>
          <w:tab/>
        </w:r>
        <w:r w:rsidR="00A355DD">
          <w:rPr>
            <w:noProof/>
            <w:webHidden/>
          </w:rPr>
          <w:fldChar w:fldCharType="begin"/>
        </w:r>
        <w:r w:rsidR="00A355DD">
          <w:rPr>
            <w:noProof/>
            <w:webHidden/>
          </w:rPr>
          <w:instrText xml:space="preserve"> PAGEREF _Toc421138252 \h </w:instrText>
        </w:r>
        <w:r w:rsidR="00A355DD">
          <w:rPr>
            <w:noProof/>
            <w:webHidden/>
          </w:rPr>
        </w:r>
        <w:r w:rsidR="00A355DD">
          <w:rPr>
            <w:noProof/>
            <w:webHidden/>
          </w:rPr>
          <w:fldChar w:fldCharType="separate"/>
        </w:r>
        <w:r w:rsidR="00A355DD">
          <w:rPr>
            <w:noProof/>
            <w:webHidden/>
          </w:rPr>
          <w:t>63</w:t>
        </w:r>
        <w:r w:rsidR="00A355DD">
          <w:rPr>
            <w:noProof/>
            <w:webHidden/>
          </w:rPr>
          <w:fldChar w:fldCharType="end"/>
        </w:r>
      </w:hyperlink>
    </w:p>
    <w:p w:rsidR="00261842" w:rsidRPr="001E4CDF" w:rsidRDefault="00261842">
      <w:pPr>
        <w:rPr>
          <w:szCs w:val="24"/>
          <w:lang w:val="sr-Latn-RS"/>
        </w:rPr>
      </w:pPr>
      <w:r w:rsidRPr="001E4CDF">
        <w:rPr>
          <w:szCs w:val="24"/>
          <w:lang w:val="sr-Latn-RS"/>
        </w:rPr>
        <w:fldChar w:fldCharType="end"/>
      </w:r>
    </w:p>
    <w:p w:rsidR="00261842" w:rsidRPr="001E4CDF" w:rsidRDefault="00261842">
      <w:pPr>
        <w:spacing w:line="240" w:lineRule="auto"/>
        <w:rPr>
          <w:szCs w:val="24"/>
          <w:lang w:val="sr-Latn-RS"/>
        </w:rPr>
      </w:pPr>
    </w:p>
    <w:p w:rsidR="00261842" w:rsidRPr="001E4CDF" w:rsidRDefault="00261842">
      <w:pPr>
        <w:spacing w:line="240" w:lineRule="auto"/>
        <w:rPr>
          <w:szCs w:val="24"/>
          <w:lang w:val="sr-Latn-RS"/>
        </w:rPr>
      </w:pPr>
      <w:r w:rsidRPr="001E4CDF">
        <w:rPr>
          <w:szCs w:val="24"/>
          <w:lang w:val="sr-Latn-RS"/>
        </w:rPr>
        <w:br w:type="page"/>
      </w:r>
    </w:p>
    <w:p w:rsidR="00261842" w:rsidRPr="001E4CDF" w:rsidRDefault="00261842">
      <w:pPr>
        <w:spacing w:line="240" w:lineRule="auto"/>
        <w:rPr>
          <w:szCs w:val="24"/>
          <w:lang w:val="sr-Latn-RS"/>
        </w:rPr>
      </w:pPr>
    </w:p>
    <w:p w:rsidR="00261842" w:rsidRPr="001E4CDF" w:rsidRDefault="00261842">
      <w:pPr>
        <w:spacing w:line="240" w:lineRule="auto"/>
        <w:rPr>
          <w:szCs w:val="24"/>
          <w:lang w:val="sr-Latn-RS"/>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3"/>
        <w:gridCol w:w="229"/>
        <w:gridCol w:w="3341"/>
        <w:gridCol w:w="1049"/>
        <w:gridCol w:w="719"/>
        <w:gridCol w:w="725"/>
        <w:gridCol w:w="577"/>
        <w:gridCol w:w="725"/>
        <w:gridCol w:w="422"/>
        <w:gridCol w:w="579"/>
      </w:tblGrid>
      <w:tr w:rsidR="00261842" w:rsidRPr="00C03E15" w:rsidTr="005700D9">
        <w:trPr>
          <w:trHeight w:val="315"/>
          <w:tblHeader/>
        </w:trPr>
        <w:tc>
          <w:tcPr>
            <w:tcW w:w="4686" w:type="pct"/>
            <w:gridSpan w:val="9"/>
            <w:tcBorders>
              <w:top w:val="single" w:sz="4" w:space="0" w:color="auto"/>
            </w:tcBorders>
            <w:shd w:val="clear" w:color="auto" w:fill="CCECFF"/>
            <w:noWrap/>
            <w:vAlign w:val="bottom"/>
            <w:hideMark/>
          </w:tcPr>
          <w:p w:rsidR="00261842" w:rsidRPr="00C03E15" w:rsidRDefault="00261842">
            <w:pPr>
              <w:spacing w:line="240" w:lineRule="auto"/>
              <w:jc w:val="center"/>
              <w:rPr>
                <w:szCs w:val="24"/>
                <w:lang w:val="sr-Latn-RS"/>
              </w:rPr>
            </w:pPr>
            <w:r w:rsidRPr="00C03E15">
              <w:rPr>
                <w:b/>
                <w:sz w:val="20"/>
                <w:szCs w:val="24"/>
                <w:lang w:val="sr-Latn-RS"/>
              </w:rPr>
              <w:t xml:space="preserve">Zbirni pregled ocena </w:t>
            </w:r>
          </w:p>
        </w:tc>
        <w:tc>
          <w:tcPr>
            <w:tcW w:w="314" w:type="pct"/>
            <w:tcBorders>
              <w:top w:val="single" w:sz="4" w:space="0" w:color="auto"/>
              <w:bottom w:val="single" w:sz="4" w:space="0" w:color="auto"/>
            </w:tcBorders>
            <w:shd w:val="clear" w:color="auto" w:fill="CCECFF"/>
          </w:tcPr>
          <w:p w:rsidR="00261842" w:rsidRPr="00C03E15" w:rsidRDefault="00261842">
            <w:pPr>
              <w:spacing w:line="240" w:lineRule="auto"/>
              <w:jc w:val="center"/>
              <w:rPr>
                <w:b/>
                <w:sz w:val="20"/>
                <w:szCs w:val="24"/>
                <w:lang w:val="sr-Latn-RS"/>
              </w:rPr>
            </w:pPr>
          </w:p>
        </w:tc>
      </w:tr>
      <w:tr w:rsidR="00261842" w:rsidRPr="00C03E15" w:rsidTr="005700D9">
        <w:tblPrEx>
          <w:tblBorders>
            <w:insideH w:val="single" w:sz="4" w:space="0" w:color="auto"/>
            <w:insideV w:val="single" w:sz="4" w:space="0" w:color="auto"/>
          </w:tblBorders>
        </w:tblPrEx>
        <w:trPr>
          <w:trHeight w:val="315"/>
          <w:tblHeader/>
        </w:trPr>
        <w:tc>
          <w:tcPr>
            <w:tcW w:w="2399" w:type="pct"/>
            <w:gridSpan w:val="3"/>
            <w:vMerge w:val="restart"/>
            <w:shd w:val="clear" w:color="auto" w:fill="CCECFF"/>
            <w:vAlign w:val="center"/>
            <w:hideMark/>
          </w:tcPr>
          <w:p w:rsidR="00261842" w:rsidRPr="00C03E15" w:rsidRDefault="00261842">
            <w:pPr>
              <w:spacing w:line="240" w:lineRule="auto"/>
              <w:jc w:val="center"/>
              <w:rPr>
                <w:szCs w:val="24"/>
                <w:lang w:val="sr-Latn-RS"/>
              </w:rPr>
            </w:pPr>
            <w:r w:rsidRPr="00C03E15">
              <w:rPr>
                <w:b/>
                <w:sz w:val="20"/>
                <w:szCs w:val="24"/>
                <w:lang w:val="sr-Latn-RS"/>
              </w:rPr>
              <w:t>Pokazatelj uspešnosti upravljanja javnim finansijama</w:t>
            </w:r>
          </w:p>
        </w:tc>
        <w:tc>
          <w:tcPr>
            <w:tcW w:w="569" w:type="pct"/>
            <w:vMerge w:val="restart"/>
            <w:shd w:val="clear" w:color="auto" w:fill="CCECFF"/>
            <w:vAlign w:val="center"/>
            <w:hideMark/>
          </w:tcPr>
          <w:p w:rsidR="00261842" w:rsidRPr="00C03E15" w:rsidRDefault="00261842">
            <w:pPr>
              <w:spacing w:line="240" w:lineRule="auto"/>
              <w:jc w:val="center"/>
              <w:rPr>
                <w:szCs w:val="24"/>
                <w:lang w:val="sr-Latn-RS"/>
              </w:rPr>
            </w:pPr>
            <w:r w:rsidRPr="00C03E15">
              <w:rPr>
                <w:b/>
                <w:sz w:val="20"/>
                <w:szCs w:val="24"/>
                <w:lang w:val="sr-Latn-RS"/>
              </w:rPr>
              <w:t>Metod ocenjivanja</w:t>
            </w:r>
          </w:p>
        </w:tc>
        <w:tc>
          <w:tcPr>
            <w:tcW w:w="1489" w:type="pct"/>
            <w:gridSpan w:val="4"/>
            <w:shd w:val="clear" w:color="auto" w:fill="CCECFF"/>
            <w:vAlign w:val="center"/>
            <w:hideMark/>
          </w:tcPr>
          <w:p w:rsidR="00261842" w:rsidRPr="00C03E15" w:rsidRDefault="00261842">
            <w:pPr>
              <w:spacing w:line="240" w:lineRule="auto"/>
              <w:jc w:val="center"/>
              <w:rPr>
                <w:szCs w:val="24"/>
                <w:lang w:val="sr-Latn-RS"/>
              </w:rPr>
            </w:pPr>
            <w:r w:rsidRPr="00C03E15">
              <w:rPr>
                <w:b/>
                <w:sz w:val="20"/>
                <w:szCs w:val="24"/>
                <w:lang w:val="sr-Latn-RS"/>
              </w:rPr>
              <w:t>Rangiranje po dimenzijama</w:t>
            </w:r>
          </w:p>
        </w:tc>
        <w:tc>
          <w:tcPr>
            <w:tcW w:w="543" w:type="pct"/>
            <w:gridSpan w:val="2"/>
            <w:vMerge w:val="restart"/>
            <w:shd w:val="clear" w:color="auto" w:fill="CCECFF"/>
            <w:vAlign w:val="center"/>
            <w:hideMark/>
          </w:tcPr>
          <w:p w:rsidR="00261842" w:rsidRPr="00C03E15" w:rsidRDefault="00261842">
            <w:pPr>
              <w:spacing w:line="240" w:lineRule="auto"/>
              <w:jc w:val="center"/>
              <w:rPr>
                <w:szCs w:val="24"/>
                <w:lang w:val="sr-Latn-RS"/>
              </w:rPr>
            </w:pPr>
            <w:r w:rsidRPr="00C03E15">
              <w:rPr>
                <w:b/>
                <w:sz w:val="20"/>
                <w:szCs w:val="24"/>
                <w:lang w:val="sr-Latn-RS"/>
              </w:rPr>
              <w:t>Rangiranje za 2014.</w:t>
            </w:r>
          </w:p>
          <w:p w:rsidR="00261842" w:rsidRPr="00C03E15" w:rsidRDefault="00261842">
            <w:pPr>
              <w:spacing w:line="240" w:lineRule="auto"/>
              <w:jc w:val="center"/>
              <w:rPr>
                <w:b/>
                <w:sz w:val="20"/>
                <w:szCs w:val="24"/>
                <w:lang w:val="sr-Latn-RS"/>
              </w:rPr>
            </w:pPr>
          </w:p>
        </w:tc>
      </w:tr>
      <w:tr w:rsidR="00261842" w:rsidRPr="00C03E15" w:rsidTr="005700D9">
        <w:tblPrEx>
          <w:tblBorders>
            <w:insideH w:val="single" w:sz="4" w:space="0" w:color="auto"/>
            <w:insideV w:val="single" w:sz="4" w:space="0" w:color="auto"/>
          </w:tblBorders>
        </w:tblPrEx>
        <w:trPr>
          <w:trHeight w:val="315"/>
          <w:tblHeader/>
        </w:trPr>
        <w:tc>
          <w:tcPr>
            <w:tcW w:w="2399" w:type="pct"/>
            <w:gridSpan w:val="3"/>
            <w:vMerge/>
            <w:vAlign w:val="center"/>
            <w:hideMark/>
          </w:tcPr>
          <w:p w:rsidR="00261842" w:rsidRPr="00C03E15" w:rsidRDefault="00261842">
            <w:pPr>
              <w:spacing w:line="240" w:lineRule="auto"/>
              <w:rPr>
                <w:b/>
                <w:sz w:val="20"/>
                <w:szCs w:val="24"/>
                <w:lang w:val="sr-Latn-RS"/>
              </w:rPr>
            </w:pPr>
          </w:p>
        </w:tc>
        <w:tc>
          <w:tcPr>
            <w:tcW w:w="569" w:type="pct"/>
            <w:vMerge/>
            <w:vAlign w:val="center"/>
            <w:hideMark/>
          </w:tcPr>
          <w:p w:rsidR="00261842" w:rsidRPr="00C03E15" w:rsidRDefault="00261842">
            <w:pPr>
              <w:spacing w:line="240" w:lineRule="auto"/>
              <w:rPr>
                <w:b/>
                <w:sz w:val="20"/>
                <w:szCs w:val="24"/>
                <w:lang w:val="sr-Latn-RS"/>
              </w:rPr>
            </w:pPr>
          </w:p>
        </w:tc>
        <w:tc>
          <w:tcPr>
            <w:tcW w:w="390" w:type="pct"/>
            <w:vAlign w:val="center"/>
            <w:hideMark/>
          </w:tcPr>
          <w:p w:rsidR="00261842" w:rsidRPr="00C03E15" w:rsidRDefault="00261842">
            <w:pPr>
              <w:spacing w:line="240" w:lineRule="auto"/>
              <w:jc w:val="center"/>
              <w:rPr>
                <w:szCs w:val="24"/>
                <w:lang w:val="sr-Latn-RS"/>
              </w:rPr>
            </w:pPr>
            <w:r w:rsidRPr="00C03E15">
              <w:rPr>
                <w:b/>
                <w:sz w:val="20"/>
                <w:szCs w:val="24"/>
                <w:lang w:val="sr-Latn-RS"/>
              </w:rPr>
              <w:t xml:space="preserve"> i.</w:t>
            </w:r>
          </w:p>
        </w:tc>
        <w:tc>
          <w:tcPr>
            <w:tcW w:w="393" w:type="pct"/>
            <w:vAlign w:val="center"/>
            <w:hideMark/>
          </w:tcPr>
          <w:p w:rsidR="00261842" w:rsidRPr="00C03E15" w:rsidRDefault="00261842">
            <w:pPr>
              <w:spacing w:line="240" w:lineRule="auto"/>
              <w:jc w:val="center"/>
              <w:rPr>
                <w:szCs w:val="24"/>
                <w:lang w:val="sr-Latn-RS"/>
              </w:rPr>
            </w:pPr>
            <w:proofErr w:type="spellStart"/>
            <w:r w:rsidRPr="00C03E15">
              <w:rPr>
                <w:b/>
                <w:sz w:val="20"/>
                <w:szCs w:val="24"/>
                <w:lang w:val="sr-Latn-RS"/>
              </w:rPr>
              <w:t>ii</w:t>
            </w:r>
            <w:proofErr w:type="spellEnd"/>
            <w:r w:rsidRPr="00C03E15">
              <w:rPr>
                <w:b/>
                <w:sz w:val="20"/>
                <w:szCs w:val="24"/>
                <w:lang w:val="sr-Latn-RS"/>
              </w:rPr>
              <w:t>.</w:t>
            </w:r>
          </w:p>
        </w:tc>
        <w:tc>
          <w:tcPr>
            <w:tcW w:w="313" w:type="pct"/>
            <w:vAlign w:val="center"/>
            <w:hideMark/>
          </w:tcPr>
          <w:p w:rsidR="00261842" w:rsidRPr="00C03E15" w:rsidRDefault="00261842">
            <w:pPr>
              <w:spacing w:line="240" w:lineRule="auto"/>
              <w:jc w:val="center"/>
              <w:rPr>
                <w:szCs w:val="24"/>
                <w:lang w:val="sr-Latn-RS"/>
              </w:rPr>
            </w:pPr>
            <w:proofErr w:type="spellStart"/>
            <w:r w:rsidRPr="00C03E15">
              <w:rPr>
                <w:b/>
                <w:sz w:val="20"/>
                <w:szCs w:val="24"/>
                <w:lang w:val="sr-Latn-RS"/>
              </w:rPr>
              <w:t>iii</w:t>
            </w:r>
            <w:proofErr w:type="spellEnd"/>
            <w:r w:rsidRPr="00C03E15">
              <w:rPr>
                <w:b/>
                <w:sz w:val="20"/>
                <w:szCs w:val="24"/>
                <w:lang w:val="sr-Latn-RS"/>
              </w:rPr>
              <w:t>.</w:t>
            </w:r>
          </w:p>
        </w:tc>
        <w:tc>
          <w:tcPr>
            <w:tcW w:w="393" w:type="pct"/>
            <w:vAlign w:val="center"/>
            <w:hideMark/>
          </w:tcPr>
          <w:p w:rsidR="00261842" w:rsidRPr="00C03E15" w:rsidRDefault="00261842">
            <w:pPr>
              <w:spacing w:line="240" w:lineRule="auto"/>
              <w:jc w:val="center"/>
              <w:rPr>
                <w:szCs w:val="24"/>
                <w:lang w:val="sr-Latn-RS"/>
              </w:rPr>
            </w:pPr>
            <w:proofErr w:type="spellStart"/>
            <w:r w:rsidRPr="00C03E15">
              <w:rPr>
                <w:b/>
                <w:sz w:val="20"/>
                <w:szCs w:val="24"/>
                <w:lang w:val="sr-Latn-RS"/>
              </w:rPr>
              <w:t>iv</w:t>
            </w:r>
            <w:proofErr w:type="spellEnd"/>
            <w:r w:rsidRPr="00C03E15">
              <w:rPr>
                <w:b/>
                <w:sz w:val="20"/>
                <w:szCs w:val="24"/>
                <w:lang w:val="sr-Latn-RS"/>
              </w:rPr>
              <w:t>.</w:t>
            </w:r>
          </w:p>
        </w:tc>
        <w:tc>
          <w:tcPr>
            <w:tcW w:w="543" w:type="pct"/>
            <w:gridSpan w:val="2"/>
            <w:vMerge/>
            <w:vAlign w:val="center"/>
            <w:hideMark/>
          </w:tcPr>
          <w:p w:rsidR="00261842" w:rsidRPr="00C03E15" w:rsidRDefault="00261842">
            <w:pPr>
              <w:spacing w:line="240" w:lineRule="auto"/>
              <w:rPr>
                <w:b/>
                <w:sz w:val="20"/>
                <w:szCs w:val="24"/>
                <w:lang w:val="sr-Latn-RS"/>
              </w:rPr>
            </w:pPr>
          </w:p>
        </w:tc>
      </w:tr>
      <w:tr w:rsidR="00261842" w:rsidRPr="00C03E15" w:rsidTr="005700D9">
        <w:tblPrEx>
          <w:tblBorders>
            <w:insideH w:val="single" w:sz="4" w:space="0" w:color="auto"/>
            <w:insideV w:val="single" w:sz="4" w:space="0" w:color="auto"/>
          </w:tblBorders>
        </w:tblPrEx>
        <w:trPr>
          <w:trHeight w:val="480"/>
        </w:trPr>
        <w:tc>
          <w:tcPr>
            <w:tcW w:w="587" w:type="pct"/>
            <w:gridSpan w:val="2"/>
            <w:vAlign w:val="center"/>
            <w:hideMark/>
          </w:tcPr>
          <w:p w:rsidR="00261842" w:rsidRPr="00C03E15" w:rsidRDefault="00261842">
            <w:pPr>
              <w:spacing w:line="240" w:lineRule="auto"/>
              <w:rPr>
                <w:szCs w:val="24"/>
                <w:lang w:val="sr-Latn-RS"/>
              </w:rPr>
            </w:pPr>
            <w:r w:rsidRPr="00C03E15">
              <w:rPr>
                <w:sz w:val="20"/>
                <w:szCs w:val="24"/>
                <w:lang w:val="sr-Latn-RS"/>
              </w:rPr>
              <w:t xml:space="preserve"> HLG-1</w:t>
            </w:r>
          </w:p>
        </w:tc>
        <w:tc>
          <w:tcPr>
            <w:tcW w:w="1812" w:type="pct"/>
            <w:vAlign w:val="bottom"/>
            <w:hideMark/>
          </w:tcPr>
          <w:p w:rsidR="00261842" w:rsidRPr="00C03E15" w:rsidRDefault="00261842">
            <w:pPr>
              <w:spacing w:line="240" w:lineRule="auto"/>
              <w:rPr>
                <w:szCs w:val="24"/>
                <w:lang w:val="sr-Latn-RS"/>
              </w:rPr>
            </w:pPr>
            <w:r w:rsidRPr="00C03E15">
              <w:rPr>
                <w:sz w:val="20"/>
                <w:szCs w:val="24"/>
                <w:lang w:val="sr-Latn-RS"/>
              </w:rPr>
              <w:t>Predvidljivost transfera od viših nivoa vlasti</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c>
          <w:tcPr>
            <w:tcW w:w="393" w:type="pct"/>
            <w:vAlign w:val="center"/>
            <w:hideMark/>
          </w:tcPr>
          <w:p w:rsidR="00261842" w:rsidRPr="00C03E15" w:rsidRDefault="007C13B0">
            <w:pPr>
              <w:spacing w:line="240" w:lineRule="auto"/>
              <w:jc w:val="center"/>
              <w:rPr>
                <w:szCs w:val="24"/>
                <w:lang w:val="sr-Latn-RS"/>
              </w:rPr>
            </w:pPr>
            <w:r w:rsidRPr="00C03E15">
              <w:rPr>
                <w:sz w:val="20"/>
                <w:szCs w:val="24"/>
                <w:lang w:val="sr-Latn-RS"/>
              </w:rPr>
              <w:t>NO</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7C13B0">
            <w:pPr>
              <w:spacing w:line="240" w:lineRule="auto"/>
              <w:jc w:val="center"/>
              <w:rPr>
                <w:szCs w:val="24"/>
                <w:lang w:val="sr-Latn-RS"/>
              </w:rPr>
            </w:pPr>
            <w:r w:rsidRPr="00C03E15">
              <w:rPr>
                <w:sz w:val="20"/>
                <w:szCs w:val="24"/>
                <w:lang w:val="sr-Latn-RS"/>
              </w:rPr>
              <w:t>NO</w:t>
            </w:r>
          </w:p>
        </w:tc>
      </w:tr>
      <w:tr w:rsidR="00261842" w:rsidRPr="00C03E15" w:rsidTr="005700D9">
        <w:tblPrEx>
          <w:tblBorders>
            <w:insideH w:val="single" w:sz="4" w:space="0" w:color="auto"/>
            <w:insideV w:val="single" w:sz="4" w:space="0" w:color="auto"/>
          </w:tblBorders>
        </w:tblPrEx>
        <w:trPr>
          <w:trHeight w:val="315"/>
        </w:trPr>
        <w:tc>
          <w:tcPr>
            <w:tcW w:w="5000" w:type="pct"/>
            <w:gridSpan w:val="10"/>
            <w:shd w:val="clear" w:color="000000" w:fill="B3BECD"/>
            <w:vAlign w:val="bottom"/>
            <w:hideMark/>
          </w:tcPr>
          <w:p w:rsidR="00261842" w:rsidRPr="00C03E15" w:rsidRDefault="00261842">
            <w:pPr>
              <w:spacing w:line="240" w:lineRule="auto"/>
              <w:rPr>
                <w:szCs w:val="24"/>
                <w:lang w:val="sr-Latn-RS"/>
              </w:rPr>
            </w:pPr>
            <w:r w:rsidRPr="00C03E15">
              <w:rPr>
                <w:b/>
                <w:sz w:val="20"/>
                <w:szCs w:val="24"/>
                <w:lang w:val="sr-Latn-RS"/>
              </w:rPr>
              <w:t>B. REZULTATI UPRAVLJANJA JAVNIM FINANSIJAMA:  Pouzdanost budžeta</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Ukupno izvršeni rashodi u odnosu na odobreni budžet</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Struktura izvršenih rashoda u odnosu na odobreni budžet</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PU-3</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Ukupno ostvareni prihodi u odnosu na odobreni budžet</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PU-4</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Stanje i praćenje docnji</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025057" w:rsidTr="005700D9">
        <w:tblPrEx>
          <w:tblBorders>
            <w:insideH w:val="single" w:sz="4" w:space="0" w:color="auto"/>
            <w:insideV w:val="single" w:sz="4" w:space="0" w:color="auto"/>
          </w:tblBorders>
        </w:tblPrEx>
        <w:trPr>
          <w:trHeight w:val="315"/>
        </w:trPr>
        <w:tc>
          <w:tcPr>
            <w:tcW w:w="5000" w:type="pct"/>
            <w:gridSpan w:val="10"/>
            <w:shd w:val="clear" w:color="000000" w:fill="B3BECD"/>
            <w:vAlign w:val="bottom"/>
            <w:hideMark/>
          </w:tcPr>
          <w:p w:rsidR="00261842" w:rsidRPr="00C03E15" w:rsidRDefault="00261842">
            <w:pPr>
              <w:spacing w:line="240" w:lineRule="auto"/>
              <w:rPr>
                <w:szCs w:val="24"/>
                <w:lang w:val="sr-Latn-RS"/>
              </w:rPr>
            </w:pPr>
            <w:r w:rsidRPr="00C03E15">
              <w:rPr>
                <w:b/>
                <w:sz w:val="20"/>
                <w:szCs w:val="24"/>
                <w:lang w:val="sr-Latn-RS"/>
              </w:rPr>
              <w:t xml:space="preserve">C. KLJUČNA PITANJA ZA SVE SEKTORE: </w:t>
            </w:r>
            <w:proofErr w:type="spellStart"/>
            <w:r w:rsidRPr="00C03E15">
              <w:rPr>
                <w:b/>
                <w:sz w:val="20"/>
                <w:szCs w:val="24"/>
                <w:lang w:val="sr-Latn-RS"/>
              </w:rPr>
              <w:t>sveobuhvatnost</w:t>
            </w:r>
            <w:proofErr w:type="spellEnd"/>
            <w:r w:rsidRPr="00C03E15">
              <w:rPr>
                <w:b/>
                <w:sz w:val="20"/>
                <w:szCs w:val="24"/>
                <w:lang w:val="sr-Latn-RS"/>
              </w:rPr>
              <w:t xml:space="preserve"> i transparentnost</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PU-5</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Budžetska klasifikacija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PU-6</w:t>
            </w:r>
          </w:p>
        </w:tc>
        <w:tc>
          <w:tcPr>
            <w:tcW w:w="1936" w:type="pct"/>
            <w:gridSpan w:val="2"/>
            <w:vAlign w:val="bottom"/>
            <w:hideMark/>
          </w:tcPr>
          <w:p w:rsidR="00261842" w:rsidRPr="00C03E15" w:rsidRDefault="00261842">
            <w:pPr>
              <w:spacing w:line="240" w:lineRule="auto"/>
              <w:rPr>
                <w:szCs w:val="24"/>
                <w:lang w:val="sr-Latn-RS"/>
              </w:rPr>
            </w:pPr>
            <w:proofErr w:type="spellStart"/>
            <w:r w:rsidRPr="00C03E15">
              <w:rPr>
                <w:sz w:val="20"/>
                <w:szCs w:val="24"/>
                <w:lang w:val="sr-Latn-RS"/>
              </w:rPr>
              <w:t>Sveobuhvatnost</w:t>
            </w:r>
            <w:proofErr w:type="spellEnd"/>
            <w:r w:rsidRPr="00C03E15">
              <w:rPr>
                <w:sz w:val="20"/>
                <w:szCs w:val="24"/>
                <w:lang w:val="sr-Latn-RS"/>
              </w:rPr>
              <w:t xml:space="preserve"> informacija u budžetskim dokumentima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PU-7</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 xml:space="preserve">Obim </w:t>
            </w:r>
            <w:proofErr w:type="spellStart"/>
            <w:r w:rsidRPr="00C03E15">
              <w:rPr>
                <w:sz w:val="20"/>
                <w:szCs w:val="24"/>
                <w:lang w:val="sr-Latn-RS"/>
              </w:rPr>
              <w:t>neprikazanih</w:t>
            </w:r>
            <w:proofErr w:type="spellEnd"/>
            <w:r w:rsidRPr="00C03E15">
              <w:rPr>
                <w:sz w:val="20"/>
                <w:szCs w:val="24"/>
                <w:lang w:val="sr-Latn-RS"/>
              </w:rPr>
              <w:t xml:space="preserve"> vladinih operacija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PU-8</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Transparentnost fiskalnih odnosa između nivoa vlasti</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M2</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13" w:type="pct"/>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PU-9</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Nadzor ukupnog fiskalnog rizika od drugih organizacija javnog sektora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PU-10</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Dostupnost najvažnijih fiskalnih informacija javnosti</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C03E15" w:rsidTr="005700D9">
        <w:tblPrEx>
          <w:tblBorders>
            <w:insideH w:val="single" w:sz="4" w:space="0" w:color="auto"/>
            <w:insideV w:val="single" w:sz="4" w:space="0" w:color="auto"/>
          </w:tblBorders>
        </w:tblPrEx>
        <w:trPr>
          <w:trHeight w:val="640"/>
        </w:trPr>
        <w:tc>
          <w:tcPr>
            <w:tcW w:w="5000" w:type="pct"/>
            <w:gridSpan w:val="10"/>
            <w:shd w:val="clear" w:color="000000" w:fill="B3BECD"/>
            <w:vAlign w:val="bottom"/>
            <w:hideMark/>
          </w:tcPr>
          <w:p w:rsidR="00261842" w:rsidRPr="00C03E15" w:rsidRDefault="00261842">
            <w:pPr>
              <w:spacing w:line="240" w:lineRule="auto"/>
              <w:rPr>
                <w:b/>
                <w:sz w:val="20"/>
                <w:szCs w:val="24"/>
                <w:lang w:val="sr-Latn-RS"/>
              </w:rPr>
            </w:pPr>
            <w:r w:rsidRPr="00C03E15">
              <w:rPr>
                <w:b/>
                <w:sz w:val="20"/>
                <w:szCs w:val="24"/>
                <w:lang w:val="sr-Latn-RS"/>
              </w:rPr>
              <w:t>D. BUDŽETSKI CIKLUS</w:t>
            </w:r>
          </w:p>
          <w:p w:rsidR="00261842" w:rsidRPr="00C03E15" w:rsidRDefault="00261842">
            <w:pPr>
              <w:spacing w:line="260" w:lineRule="auto"/>
              <w:rPr>
                <w:szCs w:val="24"/>
                <w:lang w:val="sr-Latn-RS"/>
              </w:rPr>
            </w:pPr>
            <w:bookmarkStart w:id="3" w:name="OLE_LINK3"/>
            <w:bookmarkStart w:id="4" w:name="OLE_LINK4"/>
            <w:r w:rsidRPr="00C03E15">
              <w:rPr>
                <w:b/>
                <w:sz w:val="20"/>
                <w:szCs w:val="24"/>
                <w:lang w:val="sr-Latn-RS"/>
              </w:rPr>
              <w:t>D (i) Priprema budžeta u skladu sa definisanim politikama</w:t>
            </w:r>
            <w:bookmarkEnd w:id="3"/>
            <w:bookmarkEnd w:id="4"/>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PU-11</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Uređenost i učešće u procesu donošenja godišnjeg budžeta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M2</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B</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B</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PU-12</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Višegodišnja perspektiva za fiskalno planiranje, politiku rashoda i budžetiranje</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M2</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315"/>
        </w:trPr>
        <w:tc>
          <w:tcPr>
            <w:tcW w:w="5000" w:type="pct"/>
            <w:gridSpan w:val="10"/>
            <w:shd w:val="clear" w:color="000000" w:fill="B3BECD"/>
            <w:vAlign w:val="bottom"/>
            <w:hideMark/>
          </w:tcPr>
          <w:p w:rsidR="00261842" w:rsidRPr="00C03E15" w:rsidRDefault="00261842">
            <w:pPr>
              <w:spacing w:line="240" w:lineRule="auto"/>
              <w:rPr>
                <w:szCs w:val="24"/>
                <w:lang w:val="sr-Latn-RS"/>
              </w:rPr>
            </w:pPr>
            <w:r w:rsidRPr="00C03E15">
              <w:rPr>
                <w:b/>
                <w:sz w:val="20"/>
                <w:szCs w:val="24"/>
                <w:lang w:val="sr-Latn-RS"/>
              </w:rPr>
              <w:t>D (</w:t>
            </w:r>
            <w:proofErr w:type="spellStart"/>
            <w:r w:rsidRPr="00C03E15">
              <w:rPr>
                <w:b/>
                <w:sz w:val="20"/>
                <w:szCs w:val="24"/>
                <w:lang w:val="sr-Latn-RS"/>
              </w:rPr>
              <w:t>ii</w:t>
            </w:r>
            <w:proofErr w:type="spellEnd"/>
            <w:r w:rsidRPr="00C03E15">
              <w:rPr>
                <w:b/>
                <w:sz w:val="20"/>
                <w:szCs w:val="24"/>
                <w:lang w:val="sr-Latn-RS"/>
              </w:rPr>
              <w:t xml:space="preserve">) </w:t>
            </w:r>
            <w:proofErr w:type="spellStart"/>
            <w:r w:rsidRPr="00C03E15">
              <w:rPr>
                <w:b/>
                <w:sz w:val="20"/>
                <w:szCs w:val="24"/>
                <w:lang w:val="sr-Latn-RS"/>
              </w:rPr>
              <w:t>Predvidivost</w:t>
            </w:r>
            <w:proofErr w:type="spellEnd"/>
            <w:r w:rsidRPr="00C03E15">
              <w:rPr>
                <w:b/>
                <w:sz w:val="20"/>
                <w:szCs w:val="24"/>
                <w:lang w:val="sr-Latn-RS"/>
              </w:rPr>
              <w:t xml:space="preserve"> i kontrola izvršenja budžeta</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PU-13</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 xml:space="preserve">Transparentnost obaveza i odgovornosti poreskih obveznika </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M2</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B</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B</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PU-14</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Efikasnost mera za registrovanje poreskih obveznika i procenu poreskih obaveza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M2</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B</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PU-15</w:t>
            </w:r>
          </w:p>
        </w:tc>
        <w:tc>
          <w:tcPr>
            <w:tcW w:w="1936" w:type="pct"/>
            <w:gridSpan w:val="2"/>
            <w:vAlign w:val="center"/>
            <w:hideMark/>
          </w:tcPr>
          <w:p w:rsidR="00261842" w:rsidRPr="00C03E15" w:rsidRDefault="00261842">
            <w:pPr>
              <w:spacing w:line="240" w:lineRule="auto"/>
              <w:rPr>
                <w:szCs w:val="24"/>
                <w:lang w:val="sr-Latn-RS"/>
              </w:rPr>
            </w:pPr>
            <w:r w:rsidRPr="00C03E15">
              <w:rPr>
                <w:sz w:val="20"/>
                <w:szCs w:val="24"/>
                <w:lang w:val="sr-Latn-RS"/>
              </w:rPr>
              <w:t xml:space="preserve">Efikasnost naplate poreskih obaveza </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PU-16</w:t>
            </w:r>
          </w:p>
        </w:tc>
        <w:tc>
          <w:tcPr>
            <w:tcW w:w="1936" w:type="pct"/>
            <w:gridSpan w:val="2"/>
            <w:vAlign w:val="bottom"/>
            <w:hideMark/>
          </w:tcPr>
          <w:p w:rsidR="00261842" w:rsidRPr="00C03E15" w:rsidRDefault="00261842">
            <w:pPr>
              <w:spacing w:line="240" w:lineRule="auto"/>
              <w:rPr>
                <w:szCs w:val="24"/>
                <w:lang w:val="sr-Latn-RS"/>
              </w:rPr>
            </w:pPr>
            <w:proofErr w:type="spellStart"/>
            <w:r w:rsidRPr="00C03E15">
              <w:rPr>
                <w:sz w:val="20"/>
                <w:szCs w:val="24"/>
                <w:lang w:val="sr-Latn-RS"/>
              </w:rPr>
              <w:t>Predvidivost</w:t>
            </w:r>
            <w:proofErr w:type="spellEnd"/>
            <w:r w:rsidRPr="00C03E15">
              <w:rPr>
                <w:sz w:val="20"/>
                <w:szCs w:val="24"/>
                <w:lang w:val="sr-Latn-RS"/>
              </w:rPr>
              <w:t xml:space="preserve"> raspoloživosti sredstava za preuzimanje obaveza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B</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B+</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PU-17</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Evidencija i upravljanje stanjem gotovine, dugom i garancijama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M2</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B</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lastRenderedPageBreak/>
              <w:t>PU-18</w:t>
            </w:r>
          </w:p>
        </w:tc>
        <w:tc>
          <w:tcPr>
            <w:tcW w:w="1936" w:type="pct"/>
            <w:gridSpan w:val="2"/>
            <w:vAlign w:val="center"/>
            <w:hideMark/>
          </w:tcPr>
          <w:p w:rsidR="00261842" w:rsidRPr="00C03E15" w:rsidRDefault="00261842">
            <w:pPr>
              <w:spacing w:line="240" w:lineRule="auto"/>
              <w:rPr>
                <w:szCs w:val="24"/>
                <w:lang w:val="sr-Latn-RS"/>
              </w:rPr>
            </w:pPr>
            <w:r w:rsidRPr="00C03E15">
              <w:rPr>
                <w:sz w:val="20"/>
                <w:szCs w:val="24"/>
                <w:lang w:val="sr-Latn-RS"/>
              </w:rPr>
              <w:t>Efikasnost kontrole obračuna plata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PU-19</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Transparentnost, konkurencija i mehanizam žalbe u javnim nabavkama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M2</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PU-20</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Efikasnost internih kontrola za rashode koji se ne odnose na plate</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PU-21</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Efikasnost interne revizije</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315"/>
        </w:trPr>
        <w:tc>
          <w:tcPr>
            <w:tcW w:w="5000" w:type="pct"/>
            <w:gridSpan w:val="10"/>
            <w:shd w:val="clear" w:color="000000" w:fill="B3BECD"/>
            <w:vAlign w:val="bottom"/>
            <w:hideMark/>
          </w:tcPr>
          <w:p w:rsidR="00261842" w:rsidRPr="00C03E15" w:rsidRDefault="00261842">
            <w:pPr>
              <w:spacing w:line="240" w:lineRule="auto"/>
              <w:rPr>
                <w:szCs w:val="24"/>
                <w:lang w:val="sr-Latn-RS"/>
              </w:rPr>
            </w:pPr>
            <w:r w:rsidRPr="00C03E15">
              <w:rPr>
                <w:b/>
                <w:sz w:val="20"/>
                <w:szCs w:val="24"/>
                <w:lang w:val="sr-Latn-RS"/>
              </w:rPr>
              <w:t>D (</w:t>
            </w:r>
            <w:proofErr w:type="spellStart"/>
            <w:r w:rsidRPr="00C03E15">
              <w:rPr>
                <w:b/>
                <w:sz w:val="20"/>
                <w:szCs w:val="24"/>
                <w:lang w:val="sr-Latn-RS"/>
              </w:rPr>
              <w:t>iii</w:t>
            </w:r>
            <w:proofErr w:type="spellEnd"/>
            <w:r w:rsidRPr="00C03E15">
              <w:rPr>
                <w:b/>
                <w:sz w:val="20"/>
                <w:szCs w:val="24"/>
                <w:lang w:val="sr-Latn-RS"/>
              </w:rPr>
              <w:t>) Računovodstvo, evidentiranje i izveštavanje</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PU-22</w:t>
            </w:r>
          </w:p>
        </w:tc>
        <w:tc>
          <w:tcPr>
            <w:tcW w:w="1936" w:type="pct"/>
            <w:gridSpan w:val="2"/>
            <w:vAlign w:val="bottom"/>
            <w:hideMark/>
          </w:tcPr>
          <w:p w:rsidR="00261842" w:rsidRPr="00C03E15" w:rsidRDefault="00261842">
            <w:pPr>
              <w:spacing w:line="240" w:lineRule="auto"/>
              <w:rPr>
                <w:szCs w:val="24"/>
                <w:lang w:val="sr-Latn-RS"/>
              </w:rPr>
            </w:pPr>
            <w:proofErr w:type="spellStart"/>
            <w:r w:rsidRPr="00C03E15">
              <w:rPr>
                <w:sz w:val="20"/>
                <w:szCs w:val="24"/>
                <w:lang w:val="sr-Latn-RS"/>
              </w:rPr>
              <w:t>Blagovremenost</w:t>
            </w:r>
            <w:proofErr w:type="spellEnd"/>
            <w:r w:rsidRPr="00C03E15">
              <w:rPr>
                <w:sz w:val="20"/>
                <w:szCs w:val="24"/>
                <w:lang w:val="sr-Latn-RS"/>
              </w:rPr>
              <w:t xml:space="preserve"> i pravilnost usaglašavanja računa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M2</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C03E15" w:rsidTr="005700D9">
        <w:tblPrEx>
          <w:tblBorders>
            <w:insideH w:val="single" w:sz="4" w:space="0" w:color="auto"/>
            <w:insideV w:val="single" w:sz="4" w:space="0" w:color="auto"/>
          </w:tblBorders>
        </w:tblPrEx>
        <w:trPr>
          <w:trHeight w:val="480"/>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PU-23</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Dostupnost informacija o sredstvima koja primaju jedinice koje pružaju usluge</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PU-24</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 xml:space="preserve">Kvalitet i </w:t>
            </w:r>
            <w:proofErr w:type="spellStart"/>
            <w:r w:rsidRPr="00C03E15">
              <w:rPr>
                <w:sz w:val="20"/>
                <w:szCs w:val="24"/>
                <w:lang w:val="sr-Latn-RS"/>
              </w:rPr>
              <w:t>blagovremenost</w:t>
            </w:r>
            <w:proofErr w:type="spellEnd"/>
            <w:r w:rsidRPr="00C03E15">
              <w:rPr>
                <w:sz w:val="20"/>
                <w:szCs w:val="24"/>
                <w:lang w:val="sr-Latn-RS"/>
              </w:rPr>
              <w:t xml:space="preserve"> budžetskih izveštaja u toku godine</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PU-25</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 xml:space="preserve">Kvalitet i </w:t>
            </w:r>
            <w:proofErr w:type="spellStart"/>
            <w:r w:rsidRPr="00C03E15">
              <w:rPr>
                <w:sz w:val="20"/>
                <w:szCs w:val="24"/>
                <w:lang w:val="sr-Latn-RS"/>
              </w:rPr>
              <w:t>blagovremenost</w:t>
            </w:r>
            <w:proofErr w:type="spellEnd"/>
            <w:r w:rsidRPr="00C03E15">
              <w:rPr>
                <w:sz w:val="20"/>
                <w:szCs w:val="24"/>
                <w:lang w:val="sr-Latn-RS"/>
              </w:rPr>
              <w:t xml:space="preserve"> godišnjih finansijskih izveštaja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r>
      <w:tr w:rsidR="00261842" w:rsidRPr="00C03E15" w:rsidTr="005700D9">
        <w:tblPrEx>
          <w:tblBorders>
            <w:insideH w:val="single" w:sz="4" w:space="0" w:color="auto"/>
            <w:insideV w:val="single" w:sz="4" w:space="0" w:color="auto"/>
          </w:tblBorders>
        </w:tblPrEx>
        <w:trPr>
          <w:trHeight w:val="315"/>
        </w:trPr>
        <w:tc>
          <w:tcPr>
            <w:tcW w:w="5000" w:type="pct"/>
            <w:gridSpan w:val="10"/>
            <w:shd w:val="clear" w:color="000000" w:fill="B3BECD"/>
            <w:vAlign w:val="bottom"/>
            <w:hideMark/>
          </w:tcPr>
          <w:p w:rsidR="00261842" w:rsidRPr="00C03E15" w:rsidRDefault="00261842">
            <w:pPr>
              <w:spacing w:line="240" w:lineRule="auto"/>
              <w:rPr>
                <w:szCs w:val="24"/>
                <w:lang w:val="sr-Latn-RS"/>
              </w:rPr>
            </w:pPr>
            <w:r w:rsidRPr="00C03E15">
              <w:rPr>
                <w:b/>
                <w:sz w:val="20"/>
                <w:szCs w:val="24"/>
                <w:lang w:val="sr-Latn-RS"/>
              </w:rPr>
              <w:t>D (</w:t>
            </w:r>
            <w:proofErr w:type="spellStart"/>
            <w:r w:rsidRPr="00C03E15">
              <w:rPr>
                <w:b/>
                <w:sz w:val="20"/>
                <w:szCs w:val="24"/>
                <w:lang w:val="sr-Latn-RS"/>
              </w:rPr>
              <w:t>iv</w:t>
            </w:r>
            <w:proofErr w:type="spellEnd"/>
            <w:r w:rsidRPr="00C03E15">
              <w:rPr>
                <w:b/>
                <w:sz w:val="20"/>
                <w:szCs w:val="24"/>
                <w:lang w:val="sr-Latn-RS"/>
              </w:rPr>
              <w:t>) Eksterni nadzor i revizija</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PU-26</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Obim i priroda revizije i preduzimanje mera u skladu sa preporukama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PU-27</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Zakonodavni nadzor godišnjeg zakona o budžetu</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C</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A</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B</w:t>
            </w: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315"/>
        </w:trPr>
        <w:tc>
          <w:tcPr>
            <w:tcW w:w="463" w:type="pct"/>
            <w:vAlign w:val="center"/>
            <w:hideMark/>
          </w:tcPr>
          <w:p w:rsidR="00261842" w:rsidRPr="00C03E15" w:rsidRDefault="00261842">
            <w:pPr>
              <w:spacing w:line="240" w:lineRule="auto"/>
              <w:rPr>
                <w:szCs w:val="24"/>
                <w:lang w:val="sr-Latn-RS"/>
              </w:rPr>
            </w:pPr>
            <w:r w:rsidRPr="00C03E15">
              <w:rPr>
                <w:sz w:val="20"/>
                <w:szCs w:val="24"/>
                <w:lang w:val="sr-Latn-RS"/>
              </w:rPr>
              <w:t>PU-28</w:t>
            </w:r>
          </w:p>
        </w:tc>
        <w:tc>
          <w:tcPr>
            <w:tcW w:w="1936" w:type="pct"/>
            <w:gridSpan w:val="2"/>
            <w:vAlign w:val="bottom"/>
            <w:hideMark/>
          </w:tcPr>
          <w:p w:rsidR="00261842" w:rsidRPr="00C03E15" w:rsidRDefault="00261842">
            <w:pPr>
              <w:spacing w:line="240" w:lineRule="auto"/>
              <w:rPr>
                <w:szCs w:val="24"/>
                <w:lang w:val="sr-Latn-RS"/>
              </w:rPr>
            </w:pPr>
            <w:r w:rsidRPr="00C03E15">
              <w:rPr>
                <w:sz w:val="20"/>
                <w:szCs w:val="24"/>
                <w:lang w:val="sr-Latn-RS"/>
              </w:rPr>
              <w:t>Zakonodavni nadzor izveštaja eksterne revizije</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1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D</w:t>
            </w:r>
          </w:p>
        </w:tc>
      </w:tr>
      <w:tr w:rsidR="00261842" w:rsidRPr="00C03E15" w:rsidTr="005700D9">
        <w:tblPrEx>
          <w:tblBorders>
            <w:insideH w:val="single" w:sz="4" w:space="0" w:color="auto"/>
            <w:insideV w:val="single" w:sz="4" w:space="0" w:color="auto"/>
          </w:tblBorders>
        </w:tblPrEx>
        <w:trPr>
          <w:trHeight w:val="315"/>
        </w:trPr>
        <w:tc>
          <w:tcPr>
            <w:tcW w:w="5000" w:type="pct"/>
            <w:gridSpan w:val="10"/>
            <w:shd w:val="clear" w:color="000000" w:fill="B3BECD"/>
            <w:vAlign w:val="bottom"/>
            <w:hideMark/>
          </w:tcPr>
          <w:p w:rsidR="00261842" w:rsidRPr="00C03E15" w:rsidRDefault="00261842">
            <w:pPr>
              <w:spacing w:line="240" w:lineRule="auto"/>
              <w:rPr>
                <w:szCs w:val="24"/>
                <w:lang w:val="sr-Latn-RS"/>
              </w:rPr>
            </w:pPr>
            <w:r w:rsidRPr="00C03E15">
              <w:rPr>
                <w:b/>
                <w:sz w:val="20"/>
                <w:szCs w:val="24"/>
                <w:lang w:val="sr-Latn-RS"/>
              </w:rPr>
              <w:t>E. DONATORSKA PRAKSA</w:t>
            </w:r>
          </w:p>
        </w:tc>
      </w:tr>
      <w:tr w:rsidR="00261842" w:rsidRPr="00C03E15" w:rsidTr="005700D9">
        <w:tblPrEx>
          <w:tblBorders>
            <w:insideH w:val="single" w:sz="4" w:space="0" w:color="auto"/>
            <w:insideV w:val="single" w:sz="4" w:space="0" w:color="auto"/>
          </w:tblBorders>
        </w:tblPrEx>
        <w:trPr>
          <w:trHeight w:val="315"/>
        </w:trPr>
        <w:tc>
          <w:tcPr>
            <w:tcW w:w="587" w:type="pct"/>
            <w:gridSpan w:val="2"/>
            <w:vAlign w:val="center"/>
            <w:hideMark/>
          </w:tcPr>
          <w:p w:rsidR="00261842" w:rsidRPr="00C03E15" w:rsidRDefault="00261842">
            <w:pPr>
              <w:spacing w:line="240" w:lineRule="auto"/>
              <w:rPr>
                <w:szCs w:val="24"/>
                <w:lang w:val="sr-Latn-RS"/>
              </w:rPr>
            </w:pPr>
            <w:r w:rsidRPr="00C03E15">
              <w:rPr>
                <w:sz w:val="20"/>
                <w:szCs w:val="24"/>
                <w:lang w:val="sr-Latn-RS"/>
              </w:rPr>
              <w:t>D-1</w:t>
            </w:r>
          </w:p>
        </w:tc>
        <w:tc>
          <w:tcPr>
            <w:tcW w:w="1812" w:type="pct"/>
            <w:vAlign w:val="bottom"/>
            <w:hideMark/>
          </w:tcPr>
          <w:p w:rsidR="00261842" w:rsidRPr="00C03E15" w:rsidRDefault="00261842">
            <w:pPr>
              <w:spacing w:line="240" w:lineRule="auto"/>
              <w:rPr>
                <w:szCs w:val="24"/>
                <w:lang w:val="sr-Latn-RS"/>
              </w:rPr>
            </w:pPr>
            <w:proofErr w:type="spellStart"/>
            <w:r w:rsidRPr="00C03E15">
              <w:rPr>
                <w:sz w:val="20"/>
                <w:szCs w:val="24"/>
                <w:lang w:val="sr-Latn-RS"/>
              </w:rPr>
              <w:t>Predvidivost</w:t>
            </w:r>
            <w:proofErr w:type="spellEnd"/>
            <w:r w:rsidRPr="00C03E15">
              <w:rPr>
                <w:sz w:val="20"/>
                <w:szCs w:val="24"/>
                <w:lang w:val="sr-Latn-RS"/>
              </w:rPr>
              <w:t xml:space="preserve"> direktne budžetske podrške</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r>
      <w:tr w:rsidR="00261842" w:rsidRPr="00C03E15" w:rsidTr="005700D9">
        <w:tblPrEx>
          <w:tblBorders>
            <w:insideH w:val="single" w:sz="4" w:space="0" w:color="auto"/>
            <w:insideV w:val="single" w:sz="4" w:space="0" w:color="auto"/>
          </w:tblBorders>
        </w:tblPrEx>
        <w:trPr>
          <w:trHeight w:val="480"/>
        </w:trPr>
        <w:tc>
          <w:tcPr>
            <w:tcW w:w="587" w:type="pct"/>
            <w:gridSpan w:val="2"/>
            <w:vAlign w:val="center"/>
            <w:hideMark/>
          </w:tcPr>
          <w:p w:rsidR="00261842" w:rsidRPr="00C03E15" w:rsidRDefault="00261842">
            <w:pPr>
              <w:spacing w:line="240" w:lineRule="auto"/>
              <w:rPr>
                <w:szCs w:val="24"/>
                <w:lang w:val="sr-Latn-RS"/>
              </w:rPr>
            </w:pPr>
            <w:r w:rsidRPr="00C03E15">
              <w:rPr>
                <w:sz w:val="20"/>
                <w:szCs w:val="24"/>
                <w:lang w:val="sr-Latn-RS"/>
              </w:rPr>
              <w:t>D-2</w:t>
            </w:r>
          </w:p>
        </w:tc>
        <w:tc>
          <w:tcPr>
            <w:tcW w:w="1812" w:type="pct"/>
            <w:vAlign w:val="bottom"/>
            <w:hideMark/>
          </w:tcPr>
          <w:p w:rsidR="00261842" w:rsidRPr="00C03E15" w:rsidRDefault="00261842">
            <w:pPr>
              <w:spacing w:line="240" w:lineRule="auto"/>
              <w:rPr>
                <w:szCs w:val="24"/>
                <w:lang w:val="sr-Latn-RS"/>
              </w:rPr>
            </w:pPr>
            <w:r w:rsidRPr="00C03E15">
              <w:rPr>
                <w:sz w:val="20"/>
                <w:szCs w:val="24"/>
                <w:lang w:val="sr-Latn-RS"/>
              </w:rPr>
              <w:t>Finansijske informacije koje dostavljaju donatori za potrebe pripreme budžeta i izveštavanja o projektima i programima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93"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r>
      <w:tr w:rsidR="00261842" w:rsidRPr="00C03E15" w:rsidTr="005700D9">
        <w:tblPrEx>
          <w:tblBorders>
            <w:insideH w:val="single" w:sz="4" w:space="0" w:color="auto"/>
            <w:insideV w:val="single" w:sz="4" w:space="0" w:color="auto"/>
          </w:tblBorders>
        </w:tblPrEx>
        <w:trPr>
          <w:trHeight w:val="480"/>
        </w:trPr>
        <w:tc>
          <w:tcPr>
            <w:tcW w:w="587" w:type="pct"/>
            <w:gridSpan w:val="2"/>
            <w:vAlign w:val="center"/>
            <w:hideMark/>
          </w:tcPr>
          <w:p w:rsidR="00261842" w:rsidRPr="00C03E15" w:rsidRDefault="00261842">
            <w:pPr>
              <w:spacing w:line="240" w:lineRule="auto"/>
              <w:rPr>
                <w:szCs w:val="24"/>
                <w:lang w:val="sr-Latn-RS"/>
              </w:rPr>
            </w:pPr>
            <w:r w:rsidRPr="00C03E15">
              <w:rPr>
                <w:sz w:val="20"/>
                <w:szCs w:val="24"/>
                <w:lang w:val="sr-Latn-RS"/>
              </w:rPr>
              <w:t>D-3</w:t>
            </w:r>
          </w:p>
        </w:tc>
        <w:tc>
          <w:tcPr>
            <w:tcW w:w="1812" w:type="pct"/>
            <w:vAlign w:val="bottom"/>
            <w:hideMark/>
          </w:tcPr>
          <w:p w:rsidR="00261842" w:rsidRPr="00C03E15" w:rsidRDefault="00261842">
            <w:pPr>
              <w:spacing w:line="240" w:lineRule="auto"/>
              <w:rPr>
                <w:szCs w:val="24"/>
                <w:lang w:val="sr-Latn-RS"/>
              </w:rPr>
            </w:pPr>
            <w:r w:rsidRPr="00C03E15">
              <w:rPr>
                <w:sz w:val="20"/>
                <w:szCs w:val="24"/>
                <w:lang w:val="sr-Latn-RS"/>
              </w:rPr>
              <w:t>Deo pomoći kojim se upravlja u skladu sa nacionalnim procedurama</w:t>
            </w:r>
          </w:p>
        </w:tc>
        <w:tc>
          <w:tcPr>
            <w:tcW w:w="569" w:type="pct"/>
            <w:vAlign w:val="center"/>
            <w:hideMark/>
          </w:tcPr>
          <w:p w:rsidR="00261842" w:rsidRPr="00C03E15" w:rsidRDefault="00261842">
            <w:pPr>
              <w:spacing w:line="240" w:lineRule="auto"/>
              <w:jc w:val="center"/>
              <w:rPr>
                <w:szCs w:val="24"/>
                <w:lang w:val="sr-Latn-RS"/>
              </w:rPr>
            </w:pPr>
            <w:r w:rsidRPr="00C03E15">
              <w:rPr>
                <w:sz w:val="20"/>
                <w:szCs w:val="24"/>
                <w:lang w:val="sr-Latn-RS"/>
              </w:rPr>
              <w:t>M1</w:t>
            </w:r>
          </w:p>
        </w:tc>
        <w:tc>
          <w:tcPr>
            <w:tcW w:w="390" w:type="pct"/>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313" w:type="pct"/>
            <w:shd w:val="clear" w:color="000000" w:fill="B3BECD"/>
            <w:vAlign w:val="center"/>
            <w:hideMark/>
          </w:tcPr>
          <w:p w:rsidR="00261842" w:rsidRPr="00C03E15" w:rsidRDefault="00261842">
            <w:pPr>
              <w:spacing w:line="240" w:lineRule="auto"/>
              <w:jc w:val="center"/>
              <w:rPr>
                <w:sz w:val="20"/>
                <w:szCs w:val="24"/>
                <w:lang w:val="sr-Latn-RS"/>
              </w:rPr>
            </w:pPr>
          </w:p>
        </w:tc>
        <w:tc>
          <w:tcPr>
            <w:tcW w:w="393" w:type="pct"/>
            <w:shd w:val="clear" w:color="000000" w:fill="B3BECD"/>
            <w:vAlign w:val="center"/>
            <w:hideMark/>
          </w:tcPr>
          <w:p w:rsidR="00261842" w:rsidRPr="00C03E15" w:rsidRDefault="00261842">
            <w:pPr>
              <w:spacing w:line="240" w:lineRule="auto"/>
              <w:jc w:val="center"/>
              <w:rPr>
                <w:sz w:val="20"/>
                <w:szCs w:val="24"/>
                <w:lang w:val="sr-Latn-RS"/>
              </w:rPr>
            </w:pPr>
          </w:p>
        </w:tc>
        <w:tc>
          <w:tcPr>
            <w:tcW w:w="543" w:type="pct"/>
            <w:gridSpan w:val="2"/>
            <w:vAlign w:val="center"/>
            <w:hideMark/>
          </w:tcPr>
          <w:p w:rsidR="00261842" w:rsidRPr="00C03E15" w:rsidRDefault="00261842">
            <w:pPr>
              <w:spacing w:line="240" w:lineRule="auto"/>
              <w:jc w:val="center"/>
              <w:rPr>
                <w:szCs w:val="24"/>
                <w:lang w:val="sr-Latn-RS"/>
              </w:rPr>
            </w:pPr>
            <w:r w:rsidRPr="00C03E15">
              <w:rPr>
                <w:sz w:val="20"/>
                <w:szCs w:val="24"/>
                <w:lang w:val="sr-Latn-RS"/>
              </w:rPr>
              <w:t>NP</w:t>
            </w:r>
          </w:p>
        </w:tc>
      </w:tr>
      <w:tr w:rsidR="00261842" w:rsidRPr="00C03E15" w:rsidTr="005700D9">
        <w:tblPrEx>
          <w:tblBorders>
            <w:insideH w:val="single" w:sz="4" w:space="0" w:color="auto"/>
            <w:insideV w:val="single" w:sz="4" w:space="0" w:color="auto"/>
          </w:tblBorders>
        </w:tblPrEx>
        <w:trPr>
          <w:trHeight w:val="480"/>
        </w:trPr>
        <w:tc>
          <w:tcPr>
            <w:tcW w:w="5000" w:type="pct"/>
            <w:gridSpan w:val="10"/>
            <w:vAlign w:val="bottom"/>
          </w:tcPr>
          <w:p w:rsidR="00261842" w:rsidRPr="00C03E15" w:rsidRDefault="00261842">
            <w:pPr>
              <w:spacing w:line="240" w:lineRule="auto"/>
              <w:rPr>
                <w:szCs w:val="24"/>
                <w:lang w:val="sr-Latn-RS"/>
              </w:rPr>
            </w:pPr>
            <w:r w:rsidRPr="00C03E15">
              <w:rPr>
                <w:sz w:val="20"/>
                <w:szCs w:val="24"/>
                <w:lang w:val="sr-Latn-RS"/>
              </w:rPr>
              <w:t>NP = Nije primenjivo</w:t>
            </w:r>
          </w:p>
        </w:tc>
      </w:tr>
    </w:tbl>
    <w:p w:rsidR="00261842" w:rsidRPr="001E4CDF" w:rsidRDefault="00261842">
      <w:pPr>
        <w:spacing w:line="240" w:lineRule="auto"/>
        <w:rPr>
          <w:szCs w:val="24"/>
          <w:lang w:val="sr-Latn-RS"/>
        </w:rPr>
      </w:pPr>
    </w:p>
    <w:p w:rsidR="00261842" w:rsidRPr="001E4CDF" w:rsidRDefault="00261842">
      <w:pPr>
        <w:spacing w:line="240" w:lineRule="auto"/>
        <w:rPr>
          <w:szCs w:val="24"/>
          <w:lang w:val="sr-Latn-RS"/>
        </w:rPr>
      </w:pPr>
      <w:r w:rsidRPr="001E4CDF">
        <w:rPr>
          <w:szCs w:val="24"/>
          <w:lang w:val="sr-Latn-RS"/>
        </w:rPr>
        <w:br w:type="page"/>
      </w:r>
    </w:p>
    <w:p w:rsidR="00261842" w:rsidRPr="001E4CDF" w:rsidRDefault="00261842">
      <w:pPr>
        <w:pStyle w:val="Heading1"/>
        <w:spacing w:line="260" w:lineRule="auto"/>
        <w:rPr>
          <w:rFonts w:cs="Times New Roman"/>
          <w:bCs w:val="0"/>
          <w:szCs w:val="24"/>
          <w:lang w:val="sr-Latn-RS"/>
        </w:rPr>
      </w:pPr>
      <w:bookmarkStart w:id="5" w:name="_Toc421138242"/>
      <w:r w:rsidRPr="001E4CDF">
        <w:rPr>
          <w:rFonts w:cs="Times New Roman"/>
          <w:bCs w:val="0"/>
          <w:szCs w:val="24"/>
          <w:lang w:val="sr-Latn-RS"/>
        </w:rPr>
        <w:lastRenderedPageBreak/>
        <w:t>Zbirna ocena</w:t>
      </w:r>
      <w:bookmarkEnd w:id="5"/>
      <w:r w:rsidRPr="001E4CDF">
        <w:rPr>
          <w:rFonts w:cs="Times New Roman"/>
          <w:bCs w:val="0"/>
          <w:szCs w:val="24"/>
          <w:lang w:val="sr-Latn-RS"/>
        </w:rPr>
        <w:t xml:space="preserve"> </w:t>
      </w:r>
    </w:p>
    <w:p w:rsidR="00261842" w:rsidRPr="001E4CDF" w:rsidRDefault="00261842" w:rsidP="005700D9">
      <w:pPr>
        <w:spacing w:before="240" w:after="240" w:line="260" w:lineRule="auto"/>
        <w:jc w:val="both"/>
        <w:rPr>
          <w:szCs w:val="24"/>
          <w:lang w:val="sr-Latn-RS"/>
        </w:rPr>
      </w:pPr>
      <w:r w:rsidRPr="001E4CDF">
        <w:rPr>
          <w:szCs w:val="24"/>
          <w:lang w:val="sr-Latn-RS"/>
        </w:rPr>
        <w:t>Postoji značajna povezanost centralnog nivoa vlasti (Ministarstvo finansija) i opština u Srbiji kada je u pitanju upravljanje javnim finansijama.  Opštu pravnu osnovu daje Zakon o budžetskom sistemu, naplata prihoda je uređena poreskim zakonima, nabavku reguliše jedan Zakon o javnim nabavkama, a Državna revizorska institucija zadužena je za sprovođenje eksterne revizije za ceo javni sektor.  Opštine zavise od nenamenskih i namenskih transfera centralne vlasti kojima finansiraju većinu svojih rashoda.  Centralna vlast i opštine funkcionišu u okviru jedinstvenog računa u trezora sa sopstvenim pod-računima, a računovodstvo i izveštavanje  se vrši po jedinstvenim standardima i rokovima.</w:t>
      </w:r>
    </w:p>
    <w:p w:rsidR="00261842" w:rsidRPr="001E4CDF" w:rsidRDefault="00261842">
      <w:pPr>
        <w:spacing w:line="260" w:lineRule="auto"/>
        <w:rPr>
          <w:b/>
          <w:szCs w:val="24"/>
          <w:lang w:val="sr-Latn-RS"/>
        </w:rPr>
      </w:pPr>
      <w:r w:rsidRPr="001E4CDF">
        <w:rPr>
          <w:b/>
          <w:szCs w:val="24"/>
          <w:lang w:val="sr-Latn-RS"/>
        </w:rPr>
        <w:t>(i) Integrisana ocena sistema, procesa i institucija za upravljanje javnim finansijama</w:t>
      </w:r>
    </w:p>
    <w:p w:rsidR="00261842" w:rsidRPr="001E4CDF" w:rsidRDefault="00261842">
      <w:pPr>
        <w:spacing w:before="240" w:after="240" w:line="260" w:lineRule="auto"/>
        <w:rPr>
          <w:b/>
          <w:szCs w:val="24"/>
          <w:lang w:val="sr-Latn-RS"/>
        </w:rPr>
      </w:pPr>
      <w:r w:rsidRPr="001E4CDF">
        <w:rPr>
          <w:b/>
          <w:szCs w:val="24"/>
          <w:lang w:val="sr-Latn-RS"/>
        </w:rPr>
        <w:t>1. Pouzdanost budžeta</w:t>
      </w:r>
    </w:p>
    <w:p w:rsidR="00261842" w:rsidRPr="001E4CDF" w:rsidRDefault="00261842">
      <w:pPr>
        <w:autoSpaceDE w:val="0"/>
        <w:autoSpaceDN w:val="0"/>
        <w:adjustRightInd w:val="0"/>
        <w:spacing w:before="240" w:after="240" w:line="260" w:lineRule="auto"/>
        <w:jc w:val="both"/>
        <w:rPr>
          <w:szCs w:val="24"/>
          <w:lang w:val="sr-Latn-RS"/>
        </w:rPr>
      </w:pPr>
      <w:r w:rsidRPr="001E4CDF">
        <w:rPr>
          <w:szCs w:val="24"/>
          <w:lang w:val="sr-Latn-RS"/>
        </w:rPr>
        <w:t xml:space="preserve">Pouzdanost budžeta usko je povezana sa procesom planiranja budžeta kao i sa vremenskim okvirom predviđanja.  Tokom perioda između 2011. i 2013. budžet je bio slab </w:t>
      </w:r>
      <w:proofErr w:type="spellStart"/>
      <w:r w:rsidRPr="001E4CDF">
        <w:rPr>
          <w:szCs w:val="24"/>
          <w:lang w:val="sr-Latn-RS"/>
        </w:rPr>
        <w:t>prognozer</w:t>
      </w:r>
      <w:proofErr w:type="spellEnd"/>
      <w:r w:rsidRPr="001E4CDF">
        <w:rPr>
          <w:szCs w:val="24"/>
          <w:lang w:val="sr-Latn-RS"/>
        </w:rPr>
        <w:t xml:space="preserve"> izvršenih rashoda sa ocenom D.  Stepen izvršenja planiranog budžeta blisko je povezan sa prihodima koji potiču iz sopstvenih izvora (porez na imovinu i niz naknada i taksi koje značajno doprinose prihodima iz sopstvenih izvora, ali koje je teško predvideti) i transfera od strane centralne vlasti (nenamenski (uključujući i deo poreza na dohodak građana koji se ostvaruje u opštinama) kao i oni namenski).  Ocena za prihode iz sopstvenih izvora je D a u smislu transfera od viših nivoa vlasti (indikator HLG-1), odstupanje ostvarenog od planiranog budžeta ima ocenu A.  Namenski transferi su veoma nepredvidljivi, iako čine mali deo ukupnih transfera.  Međutim, u svakoj godini procene, opština u Budžetu planira veći rashod i prihod iz sopstvenih sredstava, pa je neophodno vršenjem rebalansa u toku godine uskladiti realizaciju rashoda sa prihodima.  Stanje docnji je nisko sa ocenom A.  Baza podataka docnji je dobra sa evidentiranim datumima svih faktura u softveru.  U cilju povećanja finansijske discipline, Ministarstvo finansija kažnjava opštine koje ne plate fakture komercijalnim preduzećima u roku od 45 dana obustavom transfera dok se fakture ne plate.  Pouzdanost budžeta usko je povezana i sa procesom planiranja budžeta kao i sa vremenskim okvirom predviđanja.</w:t>
      </w:r>
    </w:p>
    <w:p w:rsidR="00261842" w:rsidRPr="001E4CDF" w:rsidRDefault="00261842">
      <w:pPr>
        <w:spacing w:line="260" w:lineRule="auto"/>
        <w:rPr>
          <w:b/>
          <w:szCs w:val="24"/>
          <w:lang w:val="sr-Latn-RS"/>
        </w:rPr>
      </w:pPr>
      <w:r w:rsidRPr="001E4CDF">
        <w:rPr>
          <w:b/>
          <w:szCs w:val="24"/>
          <w:lang w:val="sr-Latn-RS"/>
        </w:rPr>
        <w:t xml:space="preserve">2. </w:t>
      </w:r>
      <w:proofErr w:type="spellStart"/>
      <w:r w:rsidRPr="001E4CDF">
        <w:rPr>
          <w:b/>
          <w:szCs w:val="24"/>
          <w:lang w:val="sr-Latn-RS"/>
        </w:rPr>
        <w:t>Sveobuhvatnost</w:t>
      </w:r>
      <w:proofErr w:type="spellEnd"/>
      <w:r w:rsidRPr="001E4CDF">
        <w:rPr>
          <w:b/>
          <w:szCs w:val="24"/>
          <w:lang w:val="sr-Latn-RS"/>
        </w:rPr>
        <w:t xml:space="preserve"> i transparentnost</w:t>
      </w:r>
    </w:p>
    <w:p w:rsidR="00261842" w:rsidRPr="001E4CDF" w:rsidRDefault="00261842">
      <w:pPr>
        <w:autoSpaceDE w:val="0"/>
        <w:autoSpaceDN w:val="0"/>
        <w:adjustRightInd w:val="0"/>
        <w:spacing w:before="240" w:after="240" w:line="260" w:lineRule="auto"/>
        <w:jc w:val="both"/>
        <w:rPr>
          <w:szCs w:val="24"/>
          <w:lang w:val="sr-Latn-RS"/>
        </w:rPr>
      </w:pPr>
      <w:r w:rsidRPr="001E4CDF">
        <w:rPr>
          <w:szCs w:val="24"/>
          <w:lang w:val="sr-Latn-RS"/>
        </w:rPr>
        <w:t>Budžet se zasniva na o</w:t>
      </w:r>
      <w:r w:rsidR="00B04D0E">
        <w:rPr>
          <w:szCs w:val="24"/>
          <w:lang w:val="sr-Latn-RS"/>
        </w:rPr>
        <w:t>rganizacionim, ekonomskim i fun</w:t>
      </w:r>
      <w:r w:rsidRPr="001E4CDF">
        <w:rPr>
          <w:szCs w:val="24"/>
          <w:lang w:val="sr-Latn-RS"/>
        </w:rPr>
        <w:t>k</w:t>
      </w:r>
      <w:r w:rsidR="00B04D0E">
        <w:rPr>
          <w:szCs w:val="24"/>
          <w:lang w:val="sr-Latn-RS"/>
        </w:rPr>
        <w:t>c</w:t>
      </w:r>
      <w:r w:rsidRPr="001E4CDF">
        <w:rPr>
          <w:szCs w:val="24"/>
          <w:lang w:val="sr-Latn-RS"/>
        </w:rPr>
        <w:t xml:space="preserve">ionalnim klasifikacijama koje su iste kao za centralnu vlast.   Takođe postoji i programska struktura koja se uvodi u sistem klasifikacije kako bi poslužila kao sredstvo za stratešku raspodelu resursa i analizu, ali ona je tek u začetku.  Budžetska dokumentacija uglavnom sadrži dovoljno detalja i informacija o prihodima i rashodima, kao i o ključnim </w:t>
      </w:r>
      <w:proofErr w:type="spellStart"/>
      <w:r w:rsidRPr="001E4CDF">
        <w:rPr>
          <w:szCs w:val="24"/>
          <w:lang w:val="sr-Latn-RS"/>
        </w:rPr>
        <w:t>makroekonomskim</w:t>
      </w:r>
      <w:proofErr w:type="spellEnd"/>
      <w:r w:rsidRPr="001E4CDF">
        <w:rPr>
          <w:szCs w:val="24"/>
          <w:lang w:val="sr-Latn-RS"/>
        </w:rPr>
        <w:t xml:space="preserve"> agregatima, deficitu i načinu njegovog finansiranja, ali ne i o finansijskim sredstvima.  Ne daju se podaci o prethodnom </w:t>
      </w:r>
      <w:r w:rsidRPr="001E4CDF">
        <w:rPr>
          <w:szCs w:val="24"/>
          <w:lang w:val="sr-Latn-RS"/>
        </w:rPr>
        <w:lastRenderedPageBreak/>
        <w:t xml:space="preserve">budžetu radi upoređenja sa predloženim.  Budžet je sveobuhvatan u svom opsegu bez </w:t>
      </w:r>
      <w:proofErr w:type="spellStart"/>
      <w:r w:rsidRPr="001E4CDF">
        <w:rPr>
          <w:szCs w:val="24"/>
          <w:lang w:val="sr-Latn-RS"/>
        </w:rPr>
        <w:t>vanbudžetskih</w:t>
      </w:r>
      <w:proofErr w:type="spellEnd"/>
      <w:r w:rsidRPr="001E4CDF">
        <w:rPr>
          <w:szCs w:val="24"/>
          <w:lang w:val="sr-Latn-RS"/>
        </w:rPr>
        <w:t xml:space="preserve"> rashoda ili prihoda, a uključeni su i  postojeći donatorski projekti.  </w:t>
      </w:r>
    </w:p>
    <w:p w:rsidR="00261842" w:rsidRPr="001E4CDF" w:rsidRDefault="00261842">
      <w:pPr>
        <w:autoSpaceDE w:val="0"/>
        <w:autoSpaceDN w:val="0"/>
        <w:adjustRightInd w:val="0"/>
        <w:spacing w:before="240" w:after="240" w:line="260" w:lineRule="auto"/>
        <w:jc w:val="both"/>
        <w:rPr>
          <w:szCs w:val="24"/>
          <w:lang w:val="sr-Latn-RS"/>
        </w:rPr>
      </w:pPr>
      <w:r w:rsidRPr="001E4CDF">
        <w:rPr>
          <w:szCs w:val="24"/>
          <w:lang w:val="sr-Latn-RS"/>
        </w:rPr>
        <w:t>Pristup javnosti finansijskim informacijama je zadovoljavajući sa ocenom A.  Praćenje fiskalnih rizika koji nastaju u preduzećima u vlasništvu opštine postoji ali rezultati nisu konsolidovani u objedinjeni izveštaj, što bi moglo da bude učinjeno, ali se stoga smanjuje ocena.</w:t>
      </w:r>
    </w:p>
    <w:p w:rsidR="00261842" w:rsidRPr="001E4CDF" w:rsidRDefault="00261842">
      <w:pPr>
        <w:spacing w:line="260" w:lineRule="auto"/>
        <w:rPr>
          <w:b/>
          <w:szCs w:val="24"/>
          <w:lang w:val="sr-Latn-RS"/>
        </w:rPr>
      </w:pPr>
      <w:r w:rsidRPr="001E4CDF">
        <w:rPr>
          <w:b/>
          <w:szCs w:val="24"/>
          <w:lang w:val="sr-Latn-RS"/>
        </w:rPr>
        <w:t>3.  Priprema budžeta u skladu sa definisanim politikama</w:t>
      </w:r>
    </w:p>
    <w:p w:rsidR="00261842" w:rsidRPr="001E4CDF" w:rsidRDefault="00261842">
      <w:pPr>
        <w:autoSpaceDE w:val="0"/>
        <w:autoSpaceDN w:val="0"/>
        <w:adjustRightInd w:val="0"/>
        <w:spacing w:before="240" w:after="240" w:line="260" w:lineRule="auto"/>
        <w:jc w:val="both"/>
        <w:rPr>
          <w:szCs w:val="24"/>
          <w:lang w:val="sr-Latn-RS"/>
        </w:rPr>
      </w:pPr>
      <w:r w:rsidRPr="001E4CDF">
        <w:rPr>
          <w:szCs w:val="24"/>
          <w:lang w:val="sr-Latn-RS"/>
        </w:rPr>
        <w:t xml:space="preserve">Uputstvo za izradu budžeta zavisi od dobijanja informacija od Ministarstva finansija o visini transfera, što se uvek dešava sa velikim zakašnjenjem u odnosu na budžetski kalendar.  Iako je proces planiranja budžeta dobro postavljen, on trpi zbog </w:t>
      </w:r>
      <w:proofErr w:type="spellStart"/>
      <w:r w:rsidRPr="001E4CDF">
        <w:rPr>
          <w:szCs w:val="24"/>
          <w:lang w:val="sr-Latn-RS"/>
        </w:rPr>
        <w:t>neblagovremenosti</w:t>
      </w:r>
      <w:proofErr w:type="spellEnd"/>
      <w:r w:rsidRPr="001E4CDF">
        <w:rPr>
          <w:szCs w:val="24"/>
          <w:lang w:val="sr-Latn-RS"/>
        </w:rPr>
        <w:t xml:space="preserve"> uputstva koje, uz to, ne sadrži ograničenja rashoda.  Nedostatak u procesu planiranja budžeta je relativno kasno uključivanje političkog nivoa u opštinama, obzirom da ne postoji formalno uključivanje Skupštine sve dok se predlog budžeta ne dostavi na odobrenje. Postoji </w:t>
      </w:r>
      <w:proofErr w:type="spellStart"/>
      <w:r w:rsidRPr="001E4CDF">
        <w:rPr>
          <w:szCs w:val="24"/>
          <w:lang w:val="sr-Latn-RS"/>
        </w:rPr>
        <w:t>participativni</w:t>
      </w:r>
      <w:proofErr w:type="spellEnd"/>
      <w:r w:rsidRPr="001E4CDF">
        <w:rPr>
          <w:szCs w:val="24"/>
          <w:lang w:val="sr-Latn-RS"/>
        </w:rPr>
        <w:t xml:space="preserve"> proces sa zainteresovanim stranama u koji se uključuju članovi Skupštine, ali ne formalno.  Njihovo ranije uključivanje i definisanje strateških prioriteta kao i razmatranje raspodele sredstava po sektorima obezbedilo bi veći legitimitet uputstvu za izradu budžeta i pomoglo  da predlozi Odeljenju za budžet budu u skladu sa strateškim prioritetima opštine. To bi doprinelo održavanju ukupne fiskalne discipline i strateške raspodele resursa.  Ocenom B ocenjeno je vreme raspoloživo za pripremu budžeta kao odraz napora koje u pripremu ulaže opština dok je </w:t>
      </w:r>
      <w:proofErr w:type="spellStart"/>
      <w:r w:rsidRPr="001E4CDF">
        <w:rPr>
          <w:szCs w:val="24"/>
          <w:lang w:val="sr-Latn-RS"/>
        </w:rPr>
        <w:t>uključenost</w:t>
      </w:r>
      <w:proofErr w:type="spellEnd"/>
      <w:r w:rsidRPr="001E4CDF">
        <w:rPr>
          <w:szCs w:val="24"/>
          <w:lang w:val="sr-Latn-RS"/>
        </w:rPr>
        <w:t xml:space="preserve"> političkog nivoa slaba sa ocenom D.  Uprkos tome, budžet se uvek usvaja na vreme.  I fiskalnoj i budžetskoj politici generalno nedostaje </w:t>
      </w:r>
      <w:proofErr w:type="spellStart"/>
      <w:r w:rsidRPr="001E4CDF">
        <w:rPr>
          <w:szCs w:val="24"/>
          <w:lang w:val="sr-Latn-RS"/>
        </w:rPr>
        <w:t>srednjoročna</w:t>
      </w:r>
      <w:proofErr w:type="spellEnd"/>
      <w:r w:rsidRPr="001E4CDF">
        <w:rPr>
          <w:szCs w:val="24"/>
          <w:lang w:val="sr-Latn-RS"/>
        </w:rPr>
        <w:t xml:space="preserve"> perspektiva što će otežati uvođenje programskog budžetiranja.  Projekcije budžeta uključuju kapitalne rashode i za dve naredne godine, ali nema informacija o tekućim rashodima ili prihodima.  Nedostaci višegodišnjeg planiranja se ogledaju u lošim ocenama za postojanje sektorskih strategija sa višegodišnjom procenom tekućih rashoda i kapitalnih izdataka kao i za povezanost investicionih budžeta i procena budućih rashoda, sa ocenom C i D za obe dimenzije.</w:t>
      </w:r>
    </w:p>
    <w:p w:rsidR="00261842" w:rsidRPr="001E4CDF" w:rsidRDefault="00261842">
      <w:pPr>
        <w:spacing w:line="260" w:lineRule="auto"/>
        <w:rPr>
          <w:b/>
          <w:szCs w:val="24"/>
          <w:lang w:val="sr-Latn-RS"/>
        </w:rPr>
      </w:pPr>
      <w:r w:rsidRPr="001E4CDF">
        <w:rPr>
          <w:b/>
          <w:szCs w:val="24"/>
          <w:lang w:val="sr-Latn-RS"/>
        </w:rPr>
        <w:t xml:space="preserve">4.  </w:t>
      </w:r>
      <w:proofErr w:type="spellStart"/>
      <w:r w:rsidRPr="001E4CDF">
        <w:rPr>
          <w:b/>
          <w:szCs w:val="24"/>
          <w:lang w:val="sr-Latn-RS"/>
        </w:rPr>
        <w:t>Predvidivost</w:t>
      </w:r>
      <w:proofErr w:type="spellEnd"/>
      <w:r w:rsidRPr="001E4CDF">
        <w:rPr>
          <w:b/>
          <w:szCs w:val="24"/>
          <w:lang w:val="sr-Latn-RS"/>
        </w:rPr>
        <w:t xml:space="preserve"> i kontrola izvršenja budžeta</w:t>
      </w:r>
    </w:p>
    <w:p w:rsidR="00261842" w:rsidRPr="001E4CDF" w:rsidRDefault="00261842">
      <w:pPr>
        <w:pStyle w:val="ParagraphNumbering"/>
        <w:numPr>
          <w:ilvl w:val="0"/>
          <w:numId w:val="0"/>
        </w:numPr>
        <w:spacing w:before="240" w:line="260" w:lineRule="auto"/>
        <w:jc w:val="both"/>
        <w:rPr>
          <w:lang w:val="sr-Latn-RS"/>
        </w:rPr>
      </w:pPr>
      <w:r w:rsidRPr="001E4CDF">
        <w:rPr>
          <w:lang w:val="sr-Latn-RS"/>
        </w:rPr>
        <w:t xml:space="preserve">Poreski sistem u opštinama zasniva se na porezima na imovinu, čije je upravljanje preuzeto od centralne vlasti 2009. godine uz uspostavljanje sopstvene poreske administracije.  Oporezivanje se zasniva na sveobuhvatnom zakonu koji je jasan u smislu obaveza poreskih obveznika i ne daje diskreciona ovlašćenja.  Odredbe o poreskim olakšicama jasno su definisane. Edukacija poreskih obveznika više je reaktivna nego </w:t>
      </w:r>
      <w:proofErr w:type="spellStart"/>
      <w:r w:rsidRPr="001E4CDF">
        <w:rPr>
          <w:lang w:val="sr-Latn-RS"/>
        </w:rPr>
        <w:t>proaktivna</w:t>
      </w:r>
      <w:proofErr w:type="spellEnd"/>
      <w:r w:rsidRPr="001E4CDF">
        <w:rPr>
          <w:lang w:val="sr-Latn-RS"/>
        </w:rPr>
        <w:t xml:space="preserve">, i delom se zasniva na objavljivanju informacija u glasniku, što se smatra dovoljnim i malo zahtevnim u administrativnom pogledu. Žalbenom mehanizmu nedostaje nezavisni arbitražni sistem, koji je nezavistan od same vlasti, poput žalbenog veća koje bi funkcionisalo između podnošenja </w:t>
      </w:r>
      <w:r w:rsidRPr="001E4CDF">
        <w:rPr>
          <w:lang w:val="sr-Latn-RS"/>
        </w:rPr>
        <w:lastRenderedPageBreak/>
        <w:t xml:space="preserve">žalbe poreskoj upravi (koju obrađuje ili opština ili okružni nivo Ministarstva finansija) i suda.  Baze podataka o imovini i zemljištu se proširuju i povezuju sa nekim eksternim bazama podataka. Potvrde o izmirenim poreskim obavezama potrebne su za učešće u javnim nabavkama kao i za pristup određenim vrstama državne pomoći.   Potvrde o izmirenim poreskim obavezama potrebne su za učešće u javnim nabavkama kao i za pristup određenim vrstama državne pomoći.  Docnje su shodno tome visoke što je dovelo do ocene D.  Međutim, one su visoke i zbog </w:t>
      </w:r>
      <w:proofErr w:type="spellStart"/>
      <w:r w:rsidRPr="001E4CDF">
        <w:rPr>
          <w:lang w:val="sr-Latn-RS"/>
        </w:rPr>
        <w:t>kumulativnog</w:t>
      </w:r>
      <w:proofErr w:type="spellEnd"/>
      <w:r w:rsidRPr="001E4CDF">
        <w:rPr>
          <w:lang w:val="sr-Latn-RS"/>
        </w:rPr>
        <w:t xml:space="preserve"> efekta visokih </w:t>
      </w:r>
      <w:proofErr w:type="spellStart"/>
      <w:r w:rsidRPr="001E4CDF">
        <w:rPr>
          <w:lang w:val="sr-Latn-RS"/>
        </w:rPr>
        <w:t>kamatnih</w:t>
      </w:r>
      <w:proofErr w:type="spellEnd"/>
      <w:r w:rsidRPr="001E4CDF">
        <w:rPr>
          <w:lang w:val="sr-Latn-RS"/>
        </w:rPr>
        <w:t xml:space="preserve"> stopa kao i zbog nasleđenih dugovanja iz vremena kad je porez na imovinu administrirala centralna vlast.  Zakon dozvoljava otpis dugovanja nakon pet godina ali to se ne primenjuje.  Poreske kontrole i istrage u slučaju pronevere vrše se povremeno, kada zaposleni imaju vremena.  Plaćanja se vrše na jedinstveni račun trezora preko komercijalnih banaka uz prijem sredstava u toku narednog dana. Podaci poreskih obveznika čuvaju se u elektronskoj formi i ažuriraju nakon primljene uplate.  </w:t>
      </w:r>
    </w:p>
    <w:p w:rsidR="00261842" w:rsidRPr="001E4CDF" w:rsidRDefault="00261842">
      <w:pPr>
        <w:autoSpaceDE w:val="0"/>
        <w:autoSpaceDN w:val="0"/>
        <w:adjustRightInd w:val="0"/>
        <w:spacing w:after="240" w:line="260" w:lineRule="auto"/>
        <w:jc w:val="both"/>
        <w:rPr>
          <w:szCs w:val="24"/>
          <w:lang w:val="sr-Latn-RS"/>
        </w:rPr>
      </w:pPr>
      <w:r w:rsidRPr="001E4CDF">
        <w:rPr>
          <w:szCs w:val="24"/>
          <w:lang w:val="sr-Latn-RS"/>
        </w:rPr>
        <w:t xml:space="preserve">Na </w:t>
      </w:r>
      <w:proofErr w:type="spellStart"/>
      <w:r w:rsidRPr="001E4CDF">
        <w:rPr>
          <w:szCs w:val="24"/>
          <w:lang w:val="sr-Latn-RS"/>
        </w:rPr>
        <w:t>rashodnoj</w:t>
      </w:r>
      <w:proofErr w:type="spellEnd"/>
      <w:r w:rsidRPr="001E4CDF">
        <w:rPr>
          <w:szCs w:val="24"/>
          <w:lang w:val="sr-Latn-RS"/>
        </w:rPr>
        <w:t xml:space="preserve"> strani, sveobuhvatne mere za unapređenje izvršenja budžeta i jačanje kontrole primenjuju se u celom javnom sektoru Srbije kao rezultat usvojenog Zakona o budžetskom sistemu.  Ukupna </w:t>
      </w:r>
      <w:proofErr w:type="spellStart"/>
      <w:r w:rsidRPr="001E4CDF">
        <w:rPr>
          <w:szCs w:val="24"/>
          <w:lang w:val="sr-Latn-RS"/>
        </w:rPr>
        <w:t>predvidivost</w:t>
      </w:r>
      <w:proofErr w:type="spellEnd"/>
      <w:r w:rsidRPr="001E4CDF">
        <w:rPr>
          <w:szCs w:val="24"/>
          <w:lang w:val="sr-Latn-RS"/>
        </w:rPr>
        <w:t xml:space="preserve"> raspoloživosti sredstava za preuzimanje obaveza dobila je srednju ocenu B+.  Broj rebalansa budžeta je mali, a vrše se po istoj proceduri kao i donošenje budžeta kako bi se obezbedilo balansiranje završnog budžeta.  Opštinska gotovinska </w:t>
      </w:r>
      <w:r w:rsidR="005700D9">
        <w:rPr>
          <w:szCs w:val="24"/>
          <w:lang w:val="sr-Latn-RS"/>
        </w:rPr>
        <w:t xml:space="preserve">sredstva su konsolidovana na </w:t>
      </w:r>
      <w:r w:rsidRPr="001E4CDF">
        <w:rPr>
          <w:szCs w:val="24"/>
          <w:lang w:val="sr-Latn-RS"/>
        </w:rPr>
        <w:t xml:space="preserve">jedinstvenom računu trezora.  Broj kredita je mali i evidentira se u računovodstvenom sistemu, a za zaduživanje je potrebno dobiti odobrenje Ministarstva finansija (Zakon o javnom dugu) uz ograničenja vezana za izvršenje prethodnog budžeta.  Ne postoje uspostavljeni fiskalni ciljevi što delimično odražava nedostatak višegodišnjeg planiranja.  Procesi i procedure javnih nabavki zasnivaju se na nacionalnom sistemu uspostavljenim Zakonom o javnim nabavkama i u svim aspektima su  ocenjeni sa A.  Kontrola platnih spiskova je uspostavljena i dobra, međutim revizije platnih spiskova se ne vrše.  </w:t>
      </w:r>
      <w:proofErr w:type="spellStart"/>
      <w:r w:rsidRPr="001E4CDF">
        <w:rPr>
          <w:szCs w:val="24"/>
          <w:lang w:val="sr-Latn-RS"/>
        </w:rPr>
        <w:t>Osečina</w:t>
      </w:r>
      <w:proofErr w:type="spellEnd"/>
      <w:r w:rsidRPr="001E4CDF">
        <w:rPr>
          <w:szCs w:val="24"/>
          <w:lang w:val="sr-Latn-RS"/>
        </w:rPr>
        <w:t xml:space="preserve"> nema internu reviziju – što je očigledna slabost čitavog sistema kontrole.  Ne postoji kontrola preuzimanja obaveza – kontrola raspoloživosti sredstava se vrši na osnovu fakture ili ugovora a ne u fazi odluke o nabavci nakon što su </w:t>
      </w:r>
      <w:proofErr w:type="spellStart"/>
      <w:r w:rsidRPr="001E4CDF">
        <w:rPr>
          <w:szCs w:val="24"/>
          <w:lang w:val="sr-Latn-RS"/>
        </w:rPr>
        <w:t>ispoštovane</w:t>
      </w:r>
      <w:proofErr w:type="spellEnd"/>
      <w:r w:rsidRPr="001E4CDF">
        <w:rPr>
          <w:szCs w:val="24"/>
          <w:lang w:val="sr-Latn-RS"/>
        </w:rPr>
        <w:t xml:space="preserve"> procedure nabavke.  Stepen usklađenosti sa pravilima za obradu i evidentiranje transakcija je visok, sa ocenom A a pravila i procedure za ostale aktivnosti koje se ne odnose na nabavke su relativno nerazvijene.  Pored interne revizije, pažnju zahteva i oblast interne kontrole.</w:t>
      </w:r>
    </w:p>
    <w:p w:rsidR="00261842" w:rsidRPr="001E4CDF" w:rsidRDefault="00261842">
      <w:pPr>
        <w:spacing w:line="260" w:lineRule="auto"/>
        <w:rPr>
          <w:b/>
          <w:szCs w:val="24"/>
          <w:lang w:val="sr-Latn-RS"/>
        </w:rPr>
      </w:pPr>
      <w:r w:rsidRPr="001E4CDF">
        <w:rPr>
          <w:b/>
          <w:szCs w:val="24"/>
          <w:lang w:val="sr-Latn-RS"/>
        </w:rPr>
        <w:t>5.  Računovodstvo, evidentiranje i izveštavanje</w:t>
      </w:r>
    </w:p>
    <w:p w:rsidR="00261842" w:rsidRPr="001E4CDF" w:rsidRDefault="00261842">
      <w:pPr>
        <w:autoSpaceDE w:val="0"/>
        <w:autoSpaceDN w:val="0"/>
        <w:adjustRightInd w:val="0"/>
        <w:spacing w:before="240" w:after="240" w:line="260" w:lineRule="auto"/>
        <w:jc w:val="both"/>
        <w:rPr>
          <w:szCs w:val="24"/>
          <w:lang w:val="sr-Latn-RS"/>
        </w:rPr>
      </w:pPr>
      <w:r w:rsidRPr="001E4CDF">
        <w:rPr>
          <w:szCs w:val="24"/>
          <w:lang w:val="sr-Latn-RS"/>
        </w:rPr>
        <w:t xml:space="preserve">Uloženi su značajni napori na unapređenju kvaliteta i sveobuhvatnosti računovodstva i finansijskih izveštaja u skladu sa uspostavljanjem jedinstvenog računa trezora, na nivou celog javnog sektora u Srbiji.  Izuzev nedostatka upravljanja preuzimanjem obaveza, računovodstvo i izveštavanje u toku godine i na godišnjem nivou dobili su ocenu A što ukazuje na dobro uspostavljen sistem i njegovu </w:t>
      </w:r>
      <w:proofErr w:type="spellStart"/>
      <w:r w:rsidRPr="001E4CDF">
        <w:rPr>
          <w:szCs w:val="24"/>
          <w:lang w:val="sr-Latn-RS"/>
        </w:rPr>
        <w:t>blagovremenost</w:t>
      </w:r>
      <w:proofErr w:type="spellEnd"/>
      <w:r w:rsidRPr="001E4CDF">
        <w:rPr>
          <w:szCs w:val="24"/>
          <w:lang w:val="sr-Latn-RS"/>
        </w:rPr>
        <w:t xml:space="preserve">.  Računovodstveni sistem je </w:t>
      </w:r>
      <w:r w:rsidRPr="001E4CDF">
        <w:rPr>
          <w:szCs w:val="24"/>
          <w:lang w:val="sr-Latn-RS"/>
        </w:rPr>
        <w:lastRenderedPageBreak/>
        <w:t>postavljen tako da može da daje izveštaje po jedinicama koje pružaju usluge što omogućava transparentnost raspodele resursa.</w:t>
      </w:r>
    </w:p>
    <w:p w:rsidR="00261842" w:rsidRPr="001E4CDF" w:rsidRDefault="00261842">
      <w:pPr>
        <w:spacing w:line="260" w:lineRule="auto"/>
        <w:rPr>
          <w:b/>
          <w:szCs w:val="24"/>
          <w:lang w:val="sr-Latn-RS"/>
        </w:rPr>
      </w:pPr>
      <w:r w:rsidRPr="001E4CDF">
        <w:rPr>
          <w:b/>
          <w:szCs w:val="24"/>
          <w:lang w:val="sr-Latn-RS"/>
        </w:rPr>
        <w:t>6.  Eksterni nadzor i revizija</w:t>
      </w:r>
    </w:p>
    <w:p w:rsidR="00261842" w:rsidRPr="001E4CDF" w:rsidRDefault="00261842">
      <w:pPr>
        <w:autoSpaceDE w:val="0"/>
        <w:autoSpaceDN w:val="0"/>
        <w:adjustRightInd w:val="0"/>
        <w:spacing w:before="240" w:after="240" w:line="260" w:lineRule="auto"/>
        <w:jc w:val="both"/>
        <w:rPr>
          <w:szCs w:val="24"/>
          <w:lang w:val="sr-Latn-RS"/>
        </w:rPr>
      </w:pPr>
      <w:r w:rsidRPr="001E4CDF">
        <w:rPr>
          <w:szCs w:val="24"/>
          <w:lang w:val="sr-Latn-RS"/>
        </w:rPr>
        <w:t xml:space="preserve">Ni DRI a ni privatni revizori nisu vršili reviziju </w:t>
      </w:r>
      <w:proofErr w:type="spellStart"/>
      <w:r w:rsidRPr="001E4CDF">
        <w:rPr>
          <w:szCs w:val="24"/>
          <w:lang w:val="sr-Latn-RS"/>
        </w:rPr>
        <w:t>Osečine</w:t>
      </w:r>
      <w:proofErr w:type="spellEnd"/>
      <w:r w:rsidRPr="001E4CDF">
        <w:rPr>
          <w:szCs w:val="24"/>
          <w:lang w:val="sr-Latn-RS"/>
        </w:rPr>
        <w:t>.  Što se usvajanja bu</w:t>
      </w:r>
      <w:r w:rsidR="00B04D0E">
        <w:rPr>
          <w:szCs w:val="24"/>
          <w:lang w:val="sr-Latn-RS"/>
        </w:rPr>
        <w:t>d</w:t>
      </w:r>
      <w:r w:rsidRPr="001E4CDF">
        <w:rPr>
          <w:szCs w:val="24"/>
          <w:lang w:val="sr-Latn-RS"/>
        </w:rPr>
        <w:t xml:space="preserve">žeta tiče, postoje dobro uspostavljene procedure, ali vreme koje je na raspolaganju za njihovu primenu je zanemarivo.   Skupština raspravlja o budžetu samo na sednici na kojoj se usvaja, mada postoji kratak vremenski period za skupštinski odbor.  Prebacivanje sredstava između stavki budžeta je u skladu sa opštim pravilom iz Zakona o budžetskom sistemu o promeni </w:t>
      </w:r>
      <w:proofErr w:type="spellStart"/>
      <w:r w:rsidRPr="001E4CDF">
        <w:rPr>
          <w:szCs w:val="24"/>
          <w:lang w:val="sr-Latn-RS"/>
        </w:rPr>
        <w:t>aproprijacije</w:t>
      </w:r>
      <w:proofErr w:type="spellEnd"/>
      <w:r w:rsidRPr="001E4CDF">
        <w:rPr>
          <w:szCs w:val="24"/>
          <w:lang w:val="sr-Latn-RS"/>
        </w:rPr>
        <w:t xml:space="preserve"> od 5% i često se primenjuje.</w:t>
      </w:r>
    </w:p>
    <w:p w:rsidR="00261842" w:rsidRPr="001E4CDF" w:rsidRDefault="00261842">
      <w:pPr>
        <w:spacing w:line="260" w:lineRule="auto"/>
        <w:rPr>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xml:space="preserve">). Ocena uticaja slabosti sistema za upravljanje javnim finansijama na budžetske </w:t>
      </w:r>
      <w:proofErr w:type="spellStart"/>
      <w:r w:rsidRPr="001E4CDF">
        <w:rPr>
          <w:b/>
          <w:szCs w:val="24"/>
          <w:lang w:val="sr-Latn-RS"/>
        </w:rPr>
        <w:t>rezulate</w:t>
      </w:r>
      <w:proofErr w:type="spellEnd"/>
    </w:p>
    <w:p w:rsidR="00261842" w:rsidRPr="001E4CDF" w:rsidRDefault="00261842">
      <w:pPr>
        <w:rPr>
          <w:szCs w:val="24"/>
          <w:lang w:val="sr-Latn-RS"/>
        </w:rPr>
      </w:pPr>
    </w:p>
    <w:p w:rsidR="00261842" w:rsidRPr="001E4CDF" w:rsidRDefault="00261842">
      <w:pPr>
        <w:spacing w:line="260" w:lineRule="auto"/>
        <w:rPr>
          <w:b/>
          <w:szCs w:val="24"/>
          <w:lang w:val="sr-Latn-RS"/>
        </w:rPr>
      </w:pPr>
      <w:proofErr w:type="spellStart"/>
      <w:r w:rsidRPr="001E4CDF">
        <w:rPr>
          <w:b/>
          <w:szCs w:val="24"/>
          <w:lang w:val="sr-Latn-RS"/>
        </w:rPr>
        <w:t>Agregatna</w:t>
      </w:r>
      <w:proofErr w:type="spellEnd"/>
      <w:r w:rsidRPr="001E4CDF">
        <w:rPr>
          <w:b/>
          <w:szCs w:val="24"/>
          <w:lang w:val="sr-Latn-RS"/>
        </w:rPr>
        <w:t xml:space="preserve"> fiskalna disciplina</w:t>
      </w:r>
    </w:p>
    <w:p w:rsidR="00261842" w:rsidRPr="001E4CDF" w:rsidRDefault="00261842">
      <w:pPr>
        <w:autoSpaceDE w:val="0"/>
        <w:autoSpaceDN w:val="0"/>
        <w:adjustRightInd w:val="0"/>
        <w:spacing w:before="240" w:after="240" w:line="260" w:lineRule="auto"/>
        <w:jc w:val="both"/>
        <w:rPr>
          <w:szCs w:val="24"/>
          <w:lang w:val="sr-Latn-RS"/>
        </w:rPr>
      </w:pPr>
      <w:r w:rsidRPr="001E4CDF">
        <w:rPr>
          <w:szCs w:val="24"/>
          <w:lang w:val="sr-Latn-RS"/>
        </w:rPr>
        <w:t xml:space="preserve">Slabosti procesa, kao što je nedostatak efikasnog Srednjoročnog okvira rashoda, nedostatak blagovremenih informacija o godišnjim transferima, nedosledni prenos namenskih transfera od centralne vlasti kao i kasno uključivanje političkog nivoa u proces planiranja budžeta, imaju mogućnost da ugroze </w:t>
      </w:r>
      <w:proofErr w:type="spellStart"/>
      <w:r w:rsidRPr="001E4CDF">
        <w:rPr>
          <w:szCs w:val="24"/>
          <w:lang w:val="sr-Latn-RS"/>
        </w:rPr>
        <w:t>agregatnu</w:t>
      </w:r>
      <w:proofErr w:type="spellEnd"/>
      <w:r w:rsidRPr="001E4CDF">
        <w:rPr>
          <w:szCs w:val="24"/>
          <w:lang w:val="sr-Latn-RS"/>
        </w:rPr>
        <w:t xml:space="preserve"> fiskalnu disciplinu.  Takođe, relativno nedavno preuzimanje upravljanjem poreza na imovinu kao i struktura sopstvenih prihoda doveli su do velikih </w:t>
      </w:r>
      <w:proofErr w:type="spellStart"/>
      <w:r w:rsidRPr="001E4CDF">
        <w:rPr>
          <w:szCs w:val="24"/>
          <w:lang w:val="sr-Latn-RS"/>
        </w:rPr>
        <w:t>fluktuacija</w:t>
      </w:r>
      <w:proofErr w:type="spellEnd"/>
      <w:r w:rsidRPr="001E4CDF">
        <w:rPr>
          <w:szCs w:val="24"/>
          <w:lang w:val="sr-Latn-RS"/>
        </w:rPr>
        <w:t xml:space="preserve"> u prihodima koje je bilo teško predvideti.  Nedostatak mogućnosti preuzimanja obaveza na srednji rok dovodi do toga da se potencijalni fiskalni problemi ne mogu predvideti. Nepostojanje mehanizma eksternog nadzora dodatno slabi sistem. Funkcionalni mehanizam za sprečavanje docnji predstavlja protivtežu nedostatku kontrole preuzimanja obaveza u fazi donošenja odluke o nabavci.  Bez obzira na to, opština bi mogla bolje da kontroliše i prati izvršenje budžeta unapređenjem preuzimanja obaveza u cilju održavanja sveukupne budžetske discipline.</w:t>
      </w:r>
    </w:p>
    <w:p w:rsidR="00261842" w:rsidRPr="001E4CDF" w:rsidRDefault="00261842">
      <w:pPr>
        <w:spacing w:line="260" w:lineRule="auto"/>
        <w:rPr>
          <w:b/>
          <w:szCs w:val="24"/>
          <w:lang w:val="sr-Latn-RS"/>
        </w:rPr>
      </w:pPr>
      <w:r w:rsidRPr="001E4CDF">
        <w:rPr>
          <w:b/>
          <w:szCs w:val="24"/>
          <w:lang w:val="sr-Latn-RS"/>
        </w:rPr>
        <w:t>Strateška raspodela</w:t>
      </w:r>
    </w:p>
    <w:p w:rsidR="00261842" w:rsidRPr="001E4CDF" w:rsidRDefault="00261842">
      <w:pPr>
        <w:autoSpaceDE w:val="0"/>
        <w:autoSpaceDN w:val="0"/>
        <w:adjustRightInd w:val="0"/>
        <w:spacing w:before="240" w:after="240" w:line="260" w:lineRule="auto"/>
        <w:jc w:val="both"/>
        <w:rPr>
          <w:szCs w:val="24"/>
          <w:lang w:val="sr-Latn-RS"/>
        </w:rPr>
      </w:pPr>
      <w:r w:rsidRPr="001E4CDF">
        <w:rPr>
          <w:szCs w:val="24"/>
          <w:lang w:val="sr-Latn-RS"/>
        </w:rPr>
        <w:t xml:space="preserve">Strateška raspodela resursa je slaba zbog nedostatka srednjoročnog okvira rashoda i budžetskog okvira, neadekvatne povezanosti  razvojnih politika i budžeta u sektorskim strategijama, kao i zbog nedostatka ranog uključivanja političkih struktura u proces planiranja budžeta.  Ove slabosti ograničavaju sposobnost opština da efikasno </w:t>
      </w:r>
      <w:proofErr w:type="spellStart"/>
      <w:r w:rsidRPr="001E4CDF">
        <w:rPr>
          <w:szCs w:val="24"/>
          <w:lang w:val="sr-Latn-RS"/>
        </w:rPr>
        <w:t>raspodeljuju</w:t>
      </w:r>
      <w:proofErr w:type="spellEnd"/>
      <w:r w:rsidRPr="001E4CDF">
        <w:rPr>
          <w:szCs w:val="24"/>
          <w:lang w:val="sr-Latn-RS"/>
        </w:rPr>
        <w:t xml:space="preserve">  resurse na srednji rok kako bi postavili realističan vremenski okvir za primenu politika. S druge strane, neophodnost da se u toku godine smanje rashodi korišćenjem rebalansa budžeta ukazuje na to da se strateški prioriteti utvrđeni procesom planiranja budžeta ostvaruju, dovode u pitanje na godišnjem nivou.  Ostvarivanje strateških prioriteta otežava i neujednačenost namenskih transfera.</w:t>
      </w:r>
    </w:p>
    <w:p w:rsidR="00261842" w:rsidRPr="001E4CDF" w:rsidRDefault="00261842">
      <w:pPr>
        <w:spacing w:line="260" w:lineRule="auto"/>
        <w:rPr>
          <w:b/>
          <w:szCs w:val="24"/>
          <w:lang w:val="sr-Latn-RS"/>
        </w:rPr>
      </w:pPr>
      <w:r w:rsidRPr="001E4CDF">
        <w:rPr>
          <w:b/>
          <w:szCs w:val="24"/>
          <w:lang w:val="sr-Latn-RS"/>
        </w:rPr>
        <w:lastRenderedPageBreak/>
        <w:t>Operativna efikasnost</w:t>
      </w:r>
    </w:p>
    <w:p w:rsidR="00261842" w:rsidRPr="001E4CDF" w:rsidRDefault="00261842">
      <w:pPr>
        <w:autoSpaceDE w:val="0"/>
        <w:autoSpaceDN w:val="0"/>
        <w:adjustRightInd w:val="0"/>
        <w:spacing w:before="240" w:after="240" w:line="260" w:lineRule="auto"/>
        <w:jc w:val="both"/>
        <w:rPr>
          <w:szCs w:val="24"/>
          <w:lang w:val="sr-Latn-RS"/>
        </w:rPr>
      </w:pPr>
      <w:r w:rsidRPr="001E4CDF">
        <w:rPr>
          <w:szCs w:val="24"/>
          <w:lang w:val="sr-Latn-RS"/>
        </w:rPr>
        <w:t xml:space="preserve">Postoji jednogodišnji budžet.  Slabosti mehanizma odgovornosti zbog nedostatka interne revizije i nadzora eksterne revizije, znače da nema protivteže neefikasnom korišćenju resursa. Na </w:t>
      </w:r>
      <w:proofErr w:type="spellStart"/>
      <w:r w:rsidRPr="001E4CDF">
        <w:rPr>
          <w:szCs w:val="24"/>
          <w:lang w:val="sr-Latn-RS"/>
        </w:rPr>
        <w:t>prihodnoj</w:t>
      </w:r>
      <w:proofErr w:type="spellEnd"/>
      <w:r w:rsidRPr="001E4CDF">
        <w:rPr>
          <w:szCs w:val="24"/>
          <w:lang w:val="sr-Latn-RS"/>
        </w:rPr>
        <w:t xml:space="preserve"> strani, operativna efikasnost je ugrožena nagomilavanjem poreskih dugova.  Postoji potreba za uvođenjem mera kojima bi cilj bio povećanje naplate dugovanja, kao i otpis onih očigledno nenaplativih potraživanja.  Nedostatak efikasne naplate poreskog duga umanjuje kredibilitet poreskog procesa i jednakog tretmana svih poreskih obveznika.  Konsolidovanje novčanih sredstava, predviđanje gotovinskih tokova i upravljanje gotovinom poboljšali su izvršenje budžeta i unapredili operativnu efikasnost.  </w:t>
      </w:r>
    </w:p>
    <w:p w:rsidR="00261842" w:rsidRPr="001E4CDF" w:rsidRDefault="00261842">
      <w:pPr>
        <w:spacing w:line="260" w:lineRule="auto"/>
        <w:rPr>
          <w:b/>
          <w:szCs w:val="24"/>
          <w:lang w:val="sr-Latn-RS"/>
        </w:rPr>
      </w:pPr>
      <w:r w:rsidRPr="001E4CDF">
        <w:rPr>
          <w:b/>
          <w:szCs w:val="24"/>
          <w:lang w:val="sr-Latn-RS"/>
        </w:rPr>
        <w:t>(</w:t>
      </w:r>
      <w:proofErr w:type="spellStart"/>
      <w:r w:rsidRPr="001E4CDF">
        <w:rPr>
          <w:b/>
          <w:szCs w:val="24"/>
          <w:lang w:val="sr-Latn-RS"/>
        </w:rPr>
        <w:t>iii</w:t>
      </w:r>
      <w:proofErr w:type="spellEnd"/>
      <w:r w:rsidRPr="001E4CDF">
        <w:rPr>
          <w:b/>
          <w:szCs w:val="24"/>
          <w:lang w:val="sr-Latn-RS"/>
        </w:rPr>
        <w:t>) Izgledi planiranja i sprovođenja reformi</w:t>
      </w:r>
    </w:p>
    <w:p w:rsidR="00261842" w:rsidRPr="001E4CDF" w:rsidRDefault="00261842" w:rsidP="005700D9">
      <w:pPr>
        <w:spacing w:before="240" w:after="240" w:line="260" w:lineRule="auto"/>
        <w:jc w:val="both"/>
        <w:rPr>
          <w:szCs w:val="24"/>
          <w:lang w:val="sr-Latn-RS"/>
        </w:rPr>
      </w:pPr>
      <w:r w:rsidRPr="001E4CDF">
        <w:rPr>
          <w:szCs w:val="24"/>
          <w:lang w:val="sr-Latn-RS"/>
        </w:rPr>
        <w:t xml:space="preserve">Na upravljanje javnim finansijama u opštinama pozitivno je uticala primena Zakona o budžetskom sistemu, Zakona o javnim nabavkama kao i osnivanje Državne revizorske institucije premda eksterna revizija tek treba da se sprovede u ovoj opštini.  Jedinstveni račun trezora i odgovarajući računovodstveni sistem doprineo je efikasnosti u obezbeđenju blagovremenih informacija rukovodećim strukturama.  Sistem javnih nabavki je savremen i transparentan.  Određene </w:t>
      </w:r>
      <w:proofErr w:type="spellStart"/>
      <w:r w:rsidRPr="001E4CDF">
        <w:rPr>
          <w:szCs w:val="24"/>
          <w:lang w:val="sr-Latn-RS"/>
        </w:rPr>
        <w:t>reformske</w:t>
      </w:r>
      <w:proofErr w:type="spellEnd"/>
      <w:r w:rsidRPr="001E4CDF">
        <w:rPr>
          <w:szCs w:val="24"/>
          <w:lang w:val="sr-Latn-RS"/>
        </w:rPr>
        <w:t xml:space="preserve"> inicijative tek trebaju da se primene, posebno kada je u pitanju interna revizija i interna kontrola.  Programsko budžetiranje počinje da se primenjuje u opštinama, ali nedostatak srednjoročnog fiskalnog okvira i sektorskih strategija može programsko budžetiranje da učini preuranjenim i neefikasnim u </w:t>
      </w:r>
      <w:proofErr w:type="spellStart"/>
      <w:r w:rsidRPr="001E4CDF">
        <w:rPr>
          <w:szCs w:val="24"/>
          <w:lang w:val="sr-Latn-RS"/>
        </w:rPr>
        <w:t>Osečini</w:t>
      </w:r>
      <w:proofErr w:type="spellEnd"/>
      <w:r w:rsidRPr="001E4CDF">
        <w:rPr>
          <w:szCs w:val="24"/>
          <w:lang w:val="sr-Latn-RS"/>
        </w:rPr>
        <w:t>.</w:t>
      </w:r>
    </w:p>
    <w:p w:rsidR="00261842" w:rsidRPr="001E4CDF" w:rsidRDefault="00261842" w:rsidP="005700D9">
      <w:pPr>
        <w:spacing w:line="260" w:lineRule="auto"/>
        <w:jc w:val="both"/>
        <w:rPr>
          <w:szCs w:val="24"/>
          <w:lang w:val="sr-Latn-RS"/>
        </w:rPr>
      </w:pPr>
      <w:r w:rsidRPr="001E4CDF">
        <w:rPr>
          <w:szCs w:val="24"/>
          <w:lang w:val="sr-Latn-RS"/>
        </w:rPr>
        <w:t xml:space="preserve">Sveobuhvatna reforma sistema upravljanja javnim finansijama na nivou lokalnih vlasti može se sprovesti jedino kao deo šire reforme centralnog nivoa upravljanja javnim finansijama, posebno imajući u vidu jednoobraznost regulatornog i funkcionalnog okvira lokalne vlasti kao i prirodu samih sistema upravljanja javnim finansijama na nivou centralne i lokalne vlasti. Pošto postoji i paralelna ocena PEFA pokazatelja na nivou centralne vlasti kao i neophodnost unapređenja sistema upravljanja javnim finansijama u sklopu procesa pristupanja EU, za očekivati je da zahtevi za ubrzanje unapređenja sistema upravljanja javnim finansijama na nivou lokalnih vlasti postanu sve prisutniji. </w:t>
      </w:r>
    </w:p>
    <w:p w:rsidR="00261842" w:rsidRPr="001E4CDF" w:rsidRDefault="00261842">
      <w:pPr>
        <w:spacing w:line="240" w:lineRule="auto"/>
        <w:rPr>
          <w:szCs w:val="24"/>
          <w:lang w:val="sr-Latn-RS"/>
        </w:rPr>
      </w:pPr>
    </w:p>
    <w:p w:rsidR="00261842" w:rsidRPr="001E4CDF" w:rsidRDefault="00261842">
      <w:pPr>
        <w:spacing w:line="240" w:lineRule="auto"/>
        <w:rPr>
          <w:szCs w:val="24"/>
          <w:lang w:val="sr-Latn-RS"/>
        </w:rPr>
      </w:pPr>
      <w:r w:rsidRPr="001E4CDF">
        <w:rPr>
          <w:szCs w:val="24"/>
          <w:lang w:val="sr-Latn-RS"/>
        </w:rPr>
        <w:br w:type="page"/>
      </w:r>
    </w:p>
    <w:p w:rsidR="00261842" w:rsidRPr="001E4CDF" w:rsidRDefault="00261842">
      <w:pPr>
        <w:pStyle w:val="Heading1"/>
        <w:spacing w:line="260" w:lineRule="auto"/>
        <w:rPr>
          <w:rFonts w:cs="Times New Roman"/>
          <w:bCs w:val="0"/>
          <w:szCs w:val="24"/>
          <w:lang w:val="sr-Latn-RS"/>
        </w:rPr>
      </w:pPr>
      <w:bookmarkStart w:id="6" w:name="_Toc421138243"/>
      <w:bookmarkStart w:id="7" w:name="exec"/>
      <w:bookmarkStart w:id="8" w:name="execdone"/>
      <w:bookmarkStart w:id="9" w:name="BodyText"/>
      <w:r w:rsidRPr="001E4CDF">
        <w:rPr>
          <w:rFonts w:cs="Times New Roman"/>
          <w:bCs w:val="0"/>
          <w:szCs w:val="24"/>
          <w:lang w:val="sr-Latn-RS"/>
        </w:rPr>
        <w:lastRenderedPageBreak/>
        <w:t>Ocena sistema, procesa i institucija za upravljanje javnim finansijama</w:t>
      </w:r>
      <w:bookmarkEnd w:id="6"/>
    </w:p>
    <w:p w:rsidR="00261842" w:rsidRPr="001E4CDF" w:rsidRDefault="00261842">
      <w:pPr>
        <w:pStyle w:val="Heading2"/>
        <w:spacing w:line="260" w:lineRule="auto"/>
        <w:rPr>
          <w:rFonts w:cs="Times New Roman"/>
          <w:bCs w:val="0"/>
          <w:i/>
          <w:iCs w:val="0"/>
          <w:szCs w:val="24"/>
          <w:lang w:val="sr-Latn-RS"/>
        </w:rPr>
      </w:pPr>
      <w:bookmarkStart w:id="10" w:name="_Toc421138244"/>
      <w:bookmarkEnd w:id="7"/>
      <w:bookmarkEnd w:id="8"/>
      <w:bookmarkEnd w:id="9"/>
      <w:r w:rsidRPr="00B04D0E">
        <w:rPr>
          <w:rFonts w:cs="Times New Roman"/>
          <w:bCs w:val="0"/>
          <w:iCs w:val="0"/>
          <w:szCs w:val="24"/>
          <w:lang w:val="sr-Latn-RS"/>
        </w:rPr>
        <w:t>HLG-1 Predvidljivost transfera od viših nivoa vlasti</w:t>
      </w:r>
      <w:bookmarkEnd w:id="10"/>
    </w:p>
    <w:tbl>
      <w:tblPr>
        <w:tblW w:w="4930" w:type="pct"/>
        <w:tblInd w:w="93" w:type="dxa"/>
        <w:tblLayout w:type="fixed"/>
        <w:tblLook w:val="0000" w:firstRow="0" w:lastRow="0" w:firstColumn="0" w:lastColumn="0" w:noHBand="0" w:noVBand="0"/>
      </w:tblPr>
      <w:tblGrid>
        <w:gridCol w:w="2144"/>
        <w:gridCol w:w="1136"/>
        <w:gridCol w:w="5810"/>
      </w:tblGrid>
      <w:tr w:rsidR="00261842" w:rsidRPr="00025057">
        <w:trPr>
          <w:trHeight w:val="293"/>
        </w:trPr>
        <w:tc>
          <w:tcPr>
            <w:tcW w:w="1179" w:type="pct"/>
            <w:tcBorders>
              <w:top w:val="single" w:sz="4" w:space="0" w:color="auto"/>
              <w:left w:val="single" w:sz="4" w:space="0" w:color="auto"/>
              <w:bottom w:val="single" w:sz="4" w:space="0" w:color="auto"/>
              <w:right w:val="single" w:sz="4" w:space="0" w:color="auto"/>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both"/>
              <w:textAlignment w:val="baseline"/>
              <w:rPr>
                <w:rFonts w:ascii="Arial" w:hAnsi="Arial"/>
                <w:color w:val="000000"/>
                <w:sz w:val="20"/>
                <w:szCs w:val="24"/>
                <w:lang w:val="sr-Latn-RS"/>
              </w:rPr>
            </w:pPr>
          </w:p>
        </w:tc>
        <w:tc>
          <w:tcPr>
            <w:tcW w:w="3821" w:type="pct"/>
            <w:gridSpan w:val="2"/>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1179"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rPr>
                <w:sz w:val="20"/>
                <w:szCs w:val="24"/>
                <w:lang w:val="sr-Latn-RS"/>
              </w:rPr>
            </w:pPr>
          </w:p>
        </w:tc>
        <w:tc>
          <w:tcPr>
            <w:tcW w:w="625"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jc w:val="center"/>
              <w:rPr>
                <w:sz w:val="20"/>
                <w:szCs w:val="24"/>
                <w:lang w:val="sr-Latn-RS"/>
              </w:rPr>
            </w:pPr>
            <w:r w:rsidRPr="00C03E15">
              <w:rPr>
                <w:sz w:val="20"/>
                <w:szCs w:val="24"/>
                <w:lang w:val="sr-Latn-RS"/>
              </w:rPr>
              <w:t>2014</w:t>
            </w:r>
          </w:p>
        </w:tc>
        <w:tc>
          <w:tcPr>
            <w:tcW w:w="3196"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60" w:lineRule="auto"/>
              <w:rPr>
                <w:szCs w:val="24"/>
                <w:lang w:val="sr-Latn-RS"/>
              </w:rPr>
            </w:pPr>
            <w:r w:rsidRPr="00C03E15">
              <w:rPr>
                <w:sz w:val="20"/>
                <w:szCs w:val="24"/>
                <w:lang w:val="sr-Latn-RS"/>
              </w:rPr>
              <w:t>Objašnjenje</w:t>
            </w:r>
          </w:p>
        </w:tc>
      </w:tr>
      <w:tr w:rsidR="00261842" w:rsidRPr="001E4CDF">
        <w:trPr>
          <w:trHeight w:val="1250"/>
        </w:trPr>
        <w:tc>
          <w:tcPr>
            <w:tcW w:w="1179" w:type="pct"/>
            <w:tcBorders>
              <w:top w:val="single" w:sz="4" w:space="0" w:color="auto"/>
              <w:left w:val="single" w:sz="4" w:space="0" w:color="auto"/>
              <w:bottom w:val="single" w:sz="4" w:space="0" w:color="auto"/>
              <w:right w:val="single" w:sz="4" w:space="0" w:color="auto"/>
            </w:tcBorders>
            <w:noWrap/>
            <w:vAlign w:val="center"/>
          </w:tcPr>
          <w:p w:rsidR="00261842" w:rsidRPr="00C03E15" w:rsidRDefault="00261842">
            <w:pPr>
              <w:spacing w:line="260" w:lineRule="auto"/>
              <w:rPr>
                <w:szCs w:val="24"/>
                <w:lang w:val="sr-Latn-RS"/>
              </w:rPr>
            </w:pPr>
            <w:r w:rsidRPr="00C03E15">
              <w:rPr>
                <w:b/>
                <w:sz w:val="20"/>
                <w:szCs w:val="24"/>
                <w:lang w:val="sr-Latn-RS"/>
              </w:rPr>
              <w:t xml:space="preserve">HLG-1 </w:t>
            </w:r>
            <w:proofErr w:type="spellStart"/>
            <w:r w:rsidRPr="00C03E15">
              <w:rPr>
                <w:b/>
                <w:sz w:val="20"/>
                <w:szCs w:val="24"/>
                <w:lang w:val="sr-Latn-RS"/>
              </w:rPr>
              <w:t>Predvidivost</w:t>
            </w:r>
            <w:proofErr w:type="spellEnd"/>
            <w:r w:rsidRPr="00C03E15">
              <w:rPr>
                <w:b/>
                <w:sz w:val="20"/>
                <w:szCs w:val="24"/>
                <w:lang w:val="sr-Latn-RS"/>
              </w:rPr>
              <w:t xml:space="preserve"> transfera od viših nivoa vlasti (HLG)</w:t>
            </w:r>
          </w:p>
        </w:tc>
        <w:tc>
          <w:tcPr>
            <w:tcW w:w="625" w:type="pct"/>
            <w:tcBorders>
              <w:top w:val="single" w:sz="4" w:space="0" w:color="auto"/>
              <w:left w:val="nil"/>
              <w:bottom w:val="single" w:sz="4" w:space="0" w:color="auto"/>
              <w:right w:val="single" w:sz="4" w:space="0" w:color="auto"/>
            </w:tcBorders>
          </w:tcPr>
          <w:p w:rsidR="00261842" w:rsidRPr="00C03E15" w:rsidRDefault="00261842" w:rsidP="007C13B0">
            <w:pPr>
              <w:autoSpaceDE w:val="0"/>
              <w:autoSpaceDN w:val="0"/>
              <w:adjustRightInd w:val="0"/>
              <w:spacing w:line="240" w:lineRule="auto"/>
              <w:jc w:val="both"/>
              <w:rPr>
                <w:szCs w:val="24"/>
                <w:lang w:val="sr-Latn-RS"/>
              </w:rPr>
            </w:pPr>
            <w:r w:rsidRPr="00C03E15">
              <w:rPr>
                <w:b/>
                <w:sz w:val="20"/>
                <w:szCs w:val="24"/>
                <w:lang w:val="sr-Latn-RS"/>
              </w:rPr>
              <w:t xml:space="preserve">Ocena </w:t>
            </w:r>
            <w:r w:rsidR="007C13B0" w:rsidRPr="00C03E15">
              <w:rPr>
                <w:b/>
                <w:sz w:val="20"/>
                <w:szCs w:val="24"/>
                <w:lang w:val="sr-Latn-RS"/>
              </w:rPr>
              <w:t>NO</w:t>
            </w:r>
          </w:p>
        </w:tc>
        <w:tc>
          <w:tcPr>
            <w:tcW w:w="3196" w:type="pct"/>
            <w:tcBorders>
              <w:top w:val="single" w:sz="4" w:space="0" w:color="auto"/>
              <w:left w:val="single" w:sz="4" w:space="0" w:color="auto"/>
              <w:bottom w:val="single" w:sz="4" w:space="0" w:color="auto"/>
              <w:right w:val="single" w:sz="4" w:space="0" w:color="auto"/>
            </w:tcBorders>
            <w:vAlign w:val="center"/>
          </w:tcPr>
          <w:p w:rsidR="00261842" w:rsidRPr="001E4CDF" w:rsidRDefault="00261842">
            <w:pPr>
              <w:autoSpaceDE w:val="0"/>
              <w:autoSpaceDN w:val="0"/>
              <w:adjustRightInd w:val="0"/>
              <w:spacing w:line="240" w:lineRule="auto"/>
              <w:jc w:val="both"/>
              <w:rPr>
                <w:rFonts w:ascii="Garamond" w:hAnsi="Garamond"/>
                <w:sz w:val="20"/>
                <w:szCs w:val="24"/>
                <w:lang w:val="sr-Latn-RS"/>
              </w:rPr>
            </w:pPr>
          </w:p>
        </w:tc>
      </w:tr>
      <w:tr w:rsidR="00261842" w:rsidRPr="00C03E15">
        <w:trPr>
          <w:trHeight w:val="1250"/>
        </w:trPr>
        <w:tc>
          <w:tcPr>
            <w:tcW w:w="1179" w:type="pct"/>
            <w:tcBorders>
              <w:top w:val="single" w:sz="4" w:space="0" w:color="auto"/>
              <w:left w:val="single" w:sz="4" w:space="0" w:color="auto"/>
              <w:bottom w:val="single" w:sz="4" w:space="0" w:color="auto"/>
              <w:right w:val="single" w:sz="4" w:space="0" w:color="auto"/>
            </w:tcBorders>
            <w:noWrap/>
            <w:vAlign w:val="center"/>
          </w:tcPr>
          <w:p w:rsidR="00261842" w:rsidRPr="00C03E15" w:rsidRDefault="00261842">
            <w:pPr>
              <w:autoSpaceDE w:val="0"/>
              <w:autoSpaceDN w:val="0"/>
              <w:adjustRightInd w:val="0"/>
              <w:spacing w:line="240" w:lineRule="auto"/>
              <w:jc w:val="both"/>
              <w:rPr>
                <w:szCs w:val="24"/>
                <w:lang w:val="sr-Latn-RS"/>
              </w:rPr>
            </w:pPr>
            <w:r w:rsidRPr="00C03E15">
              <w:rPr>
                <w:sz w:val="20"/>
                <w:szCs w:val="24"/>
                <w:lang w:val="sr-Latn-RS"/>
              </w:rPr>
              <w:t xml:space="preserve">(i) </w:t>
            </w:r>
            <w:r w:rsidRPr="00C03E15">
              <w:rPr>
                <w:color w:val="000000"/>
                <w:sz w:val="20"/>
                <w:szCs w:val="24"/>
                <w:lang w:val="sr-Latn-RS"/>
              </w:rPr>
              <w:t>Godišnje odstupanje stvarnih ukupnih HLG transfera od prvobitno ukupno procenjenog iznosa koje HLG obezbeđuje opštini za uključivanje u budžet</w:t>
            </w:r>
          </w:p>
        </w:tc>
        <w:tc>
          <w:tcPr>
            <w:tcW w:w="625" w:type="pct"/>
            <w:tcBorders>
              <w:top w:val="single" w:sz="4" w:space="0" w:color="auto"/>
              <w:left w:val="nil"/>
              <w:bottom w:val="single" w:sz="4" w:space="0" w:color="auto"/>
              <w:right w:val="single" w:sz="4" w:space="0" w:color="auto"/>
            </w:tcBorders>
          </w:tcPr>
          <w:p w:rsidR="00261842" w:rsidRPr="00C03E15" w:rsidRDefault="00261842" w:rsidP="00B04D0E">
            <w:pPr>
              <w:autoSpaceDE w:val="0"/>
              <w:autoSpaceDN w:val="0"/>
              <w:adjustRightInd w:val="0"/>
              <w:spacing w:line="240" w:lineRule="auto"/>
              <w:jc w:val="center"/>
              <w:rPr>
                <w:szCs w:val="24"/>
                <w:lang w:val="sr-Latn-RS"/>
              </w:rPr>
            </w:pPr>
            <w:r w:rsidRPr="00C03E15">
              <w:rPr>
                <w:sz w:val="20"/>
                <w:szCs w:val="24"/>
                <w:lang w:val="sr-Latn-RS"/>
              </w:rPr>
              <w:t>C</w:t>
            </w:r>
          </w:p>
        </w:tc>
        <w:tc>
          <w:tcPr>
            <w:tcW w:w="3196" w:type="pct"/>
            <w:tcBorders>
              <w:top w:val="single" w:sz="4" w:space="0" w:color="auto"/>
              <w:left w:val="single" w:sz="4" w:space="0" w:color="auto"/>
              <w:bottom w:val="single" w:sz="4" w:space="0" w:color="auto"/>
              <w:right w:val="single" w:sz="4" w:space="0" w:color="auto"/>
            </w:tcBorders>
          </w:tcPr>
          <w:p w:rsidR="00261842" w:rsidRPr="00C03E15" w:rsidRDefault="00261842">
            <w:pPr>
              <w:autoSpaceDE w:val="0"/>
              <w:autoSpaceDN w:val="0"/>
              <w:adjustRightInd w:val="0"/>
              <w:spacing w:line="240" w:lineRule="auto"/>
              <w:rPr>
                <w:szCs w:val="24"/>
                <w:lang w:val="sr-Latn-RS"/>
              </w:rPr>
            </w:pPr>
            <w:r w:rsidRPr="001E4CDF">
              <w:rPr>
                <w:rFonts w:ascii="Garamond" w:hAnsi="Garamond"/>
                <w:sz w:val="20"/>
                <w:szCs w:val="24"/>
                <w:lang w:val="sr-Latn-RS"/>
              </w:rPr>
              <w:t>U ne više od jedne u prethodne tri godine procena HGL transfera je bila manja od 15%</w:t>
            </w:r>
          </w:p>
        </w:tc>
      </w:tr>
      <w:tr w:rsidR="00261842" w:rsidRPr="00C03E15">
        <w:trPr>
          <w:trHeight w:val="962"/>
        </w:trPr>
        <w:tc>
          <w:tcPr>
            <w:tcW w:w="1179" w:type="pct"/>
            <w:tcBorders>
              <w:top w:val="nil"/>
              <w:left w:val="single" w:sz="4" w:space="0" w:color="auto"/>
              <w:bottom w:val="single" w:sz="4" w:space="0" w:color="auto"/>
              <w:right w:val="single" w:sz="4" w:space="0" w:color="auto"/>
            </w:tcBorders>
            <w:vAlign w:val="center"/>
          </w:tcPr>
          <w:p w:rsidR="00261842" w:rsidRPr="00C03E15" w:rsidRDefault="00261842">
            <w:pPr>
              <w:autoSpaceDE w:val="0"/>
              <w:autoSpaceDN w:val="0"/>
              <w:adjustRightInd w:val="0"/>
              <w:spacing w:line="240" w:lineRule="auto"/>
              <w:jc w:val="both"/>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Godišnje odstupanje</w:t>
            </w:r>
            <w:r w:rsidRPr="00C03E15">
              <w:rPr>
                <w:b/>
                <w:sz w:val="20"/>
                <w:szCs w:val="24"/>
                <w:lang w:val="sr-Latn-RS"/>
              </w:rPr>
              <w:t xml:space="preserve"> </w:t>
            </w:r>
            <w:r w:rsidRPr="00C03E15">
              <w:rPr>
                <w:sz w:val="20"/>
                <w:szCs w:val="24"/>
                <w:lang w:val="sr-Latn-RS"/>
              </w:rPr>
              <w:t xml:space="preserve">između stvarnih i procenjenih prenosa namenskih transfera </w:t>
            </w:r>
          </w:p>
        </w:tc>
        <w:tc>
          <w:tcPr>
            <w:tcW w:w="625" w:type="pct"/>
            <w:tcBorders>
              <w:top w:val="single" w:sz="4" w:space="0" w:color="auto"/>
              <w:left w:val="nil"/>
              <w:bottom w:val="single" w:sz="4" w:space="0" w:color="auto"/>
              <w:right w:val="single" w:sz="4" w:space="0" w:color="auto"/>
            </w:tcBorders>
          </w:tcPr>
          <w:p w:rsidR="00261842" w:rsidRPr="00C03E15" w:rsidRDefault="007C13B0" w:rsidP="00B04D0E">
            <w:pPr>
              <w:autoSpaceDE w:val="0"/>
              <w:autoSpaceDN w:val="0"/>
              <w:adjustRightInd w:val="0"/>
              <w:spacing w:line="240" w:lineRule="auto"/>
              <w:jc w:val="center"/>
              <w:rPr>
                <w:szCs w:val="24"/>
                <w:lang w:val="sr-Latn-RS"/>
              </w:rPr>
            </w:pPr>
            <w:r w:rsidRPr="00C03E15">
              <w:rPr>
                <w:sz w:val="20"/>
                <w:szCs w:val="24"/>
                <w:lang w:val="sr-Latn-RS"/>
              </w:rPr>
              <w:t>NO</w:t>
            </w:r>
          </w:p>
        </w:tc>
        <w:tc>
          <w:tcPr>
            <w:tcW w:w="3196" w:type="pct"/>
            <w:tcBorders>
              <w:top w:val="nil"/>
              <w:left w:val="single" w:sz="4" w:space="0" w:color="auto"/>
              <w:bottom w:val="single" w:sz="4" w:space="0" w:color="auto"/>
              <w:right w:val="single" w:sz="4" w:space="0" w:color="auto"/>
            </w:tcBorders>
          </w:tcPr>
          <w:p w:rsidR="00261842" w:rsidRPr="00C03E15" w:rsidRDefault="007C13B0">
            <w:pPr>
              <w:autoSpaceDE w:val="0"/>
              <w:autoSpaceDN w:val="0"/>
              <w:adjustRightInd w:val="0"/>
              <w:spacing w:line="240" w:lineRule="auto"/>
              <w:rPr>
                <w:szCs w:val="24"/>
                <w:lang w:val="sr-Latn-RS"/>
              </w:rPr>
            </w:pPr>
            <w:r>
              <w:rPr>
                <w:rFonts w:ascii="Garamond" w:hAnsi="Garamond"/>
                <w:sz w:val="20"/>
                <w:szCs w:val="24"/>
                <w:lang w:val="sr-Latn-RS"/>
              </w:rPr>
              <w:t>Nedovoljno dokaza</w:t>
            </w:r>
          </w:p>
        </w:tc>
      </w:tr>
      <w:tr w:rsidR="00261842" w:rsidRPr="00025057">
        <w:trPr>
          <w:trHeight w:val="710"/>
        </w:trPr>
        <w:tc>
          <w:tcPr>
            <w:tcW w:w="1179" w:type="pct"/>
            <w:tcBorders>
              <w:top w:val="single" w:sz="4" w:space="0" w:color="auto"/>
              <w:left w:val="single" w:sz="4" w:space="0" w:color="auto"/>
              <w:bottom w:val="single" w:sz="4" w:space="0" w:color="auto"/>
              <w:right w:val="single" w:sz="4" w:space="0" w:color="auto"/>
            </w:tcBorders>
            <w:vAlign w:val="center"/>
          </w:tcPr>
          <w:p w:rsidR="00261842" w:rsidRPr="00C03E15" w:rsidRDefault="00261842">
            <w:pPr>
              <w:autoSpaceDE w:val="0"/>
              <w:autoSpaceDN w:val="0"/>
              <w:adjustRightInd w:val="0"/>
              <w:spacing w:line="240" w:lineRule="auto"/>
              <w:jc w:val="both"/>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xml:space="preserve">) </w:t>
            </w:r>
            <w:proofErr w:type="spellStart"/>
            <w:r w:rsidRPr="00C03E15">
              <w:rPr>
                <w:sz w:val="20"/>
                <w:szCs w:val="24"/>
                <w:lang w:val="sr-Latn-RS"/>
              </w:rPr>
              <w:t>Blagovremenost</w:t>
            </w:r>
            <w:proofErr w:type="spellEnd"/>
            <w:r w:rsidRPr="00C03E15">
              <w:rPr>
                <w:sz w:val="20"/>
                <w:szCs w:val="24"/>
                <w:lang w:val="sr-Latn-RS"/>
              </w:rPr>
              <w:t xml:space="preserve"> transfera iz HLG u toku godine (u skladu sa rasporedom za  distribuciju isplata u toku godine, dogovoreno u roku od mesec dana od početka budžetske godine te lokalne samouprave)</w:t>
            </w:r>
          </w:p>
        </w:tc>
        <w:tc>
          <w:tcPr>
            <w:tcW w:w="625" w:type="pct"/>
            <w:tcBorders>
              <w:top w:val="single" w:sz="4" w:space="0" w:color="auto"/>
              <w:left w:val="nil"/>
              <w:bottom w:val="single" w:sz="4" w:space="0" w:color="auto"/>
              <w:right w:val="single" w:sz="4" w:space="0" w:color="auto"/>
            </w:tcBorders>
          </w:tcPr>
          <w:p w:rsidR="00261842" w:rsidRPr="00C03E15" w:rsidRDefault="00261842" w:rsidP="00B04D0E">
            <w:pPr>
              <w:autoSpaceDE w:val="0"/>
              <w:autoSpaceDN w:val="0"/>
              <w:adjustRightInd w:val="0"/>
              <w:spacing w:line="240" w:lineRule="auto"/>
              <w:jc w:val="center"/>
              <w:rPr>
                <w:szCs w:val="24"/>
                <w:lang w:val="sr-Latn-RS"/>
              </w:rPr>
            </w:pPr>
            <w:r w:rsidRPr="00C03E15">
              <w:rPr>
                <w:sz w:val="20"/>
                <w:szCs w:val="24"/>
                <w:lang w:val="sr-Latn-RS"/>
              </w:rPr>
              <w:t>A</w:t>
            </w:r>
          </w:p>
        </w:tc>
        <w:tc>
          <w:tcPr>
            <w:tcW w:w="3196" w:type="pct"/>
            <w:tcBorders>
              <w:top w:val="single" w:sz="4" w:space="0" w:color="auto"/>
              <w:left w:val="single" w:sz="4" w:space="0" w:color="auto"/>
              <w:bottom w:val="single" w:sz="4" w:space="0" w:color="auto"/>
              <w:right w:val="single" w:sz="4" w:space="0" w:color="auto"/>
            </w:tcBorders>
            <w:shd w:val="clear" w:color="auto" w:fill="FFFFFF"/>
          </w:tcPr>
          <w:p w:rsidR="00261842" w:rsidRPr="00C03E15" w:rsidRDefault="00261842">
            <w:pPr>
              <w:autoSpaceDE w:val="0"/>
              <w:autoSpaceDN w:val="0"/>
              <w:adjustRightInd w:val="0"/>
              <w:spacing w:line="240" w:lineRule="auto"/>
              <w:rPr>
                <w:szCs w:val="24"/>
                <w:lang w:val="sr-Latn-RS"/>
              </w:rPr>
            </w:pPr>
            <w:r w:rsidRPr="001E4CDF">
              <w:rPr>
                <w:rFonts w:ascii="Garamond" w:hAnsi="Garamond"/>
                <w:sz w:val="20"/>
                <w:szCs w:val="24"/>
                <w:lang w:val="sr-Latn-RS"/>
              </w:rPr>
              <w:t>Deo sporazuma između HLG i opštine predstavlja raspored raspodele opštih transfera i to je dogovoreno od strane svih učesnika na početku ili  pre početka budžetske godine i kašnjenje stvarne realizacije sredstava (</w:t>
            </w:r>
            <w:proofErr w:type="spellStart"/>
            <w:r w:rsidRPr="001E4CDF">
              <w:rPr>
                <w:rFonts w:ascii="Garamond" w:hAnsi="Garamond"/>
                <w:sz w:val="20"/>
                <w:szCs w:val="24"/>
                <w:lang w:val="sr-Latn-RS"/>
              </w:rPr>
              <w:t>ponderisano</w:t>
            </w:r>
            <w:proofErr w:type="spellEnd"/>
            <w:r w:rsidRPr="001E4CDF">
              <w:rPr>
                <w:rFonts w:ascii="Garamond" w:hAnsi="Garamond"/>
                <w:sz w:val="20"/>
                <w:szCs w:val="24"/>
                <w:lang w:val="sr-Latn-RS"/>
              </w:rPr>
              <w:t>) nije prešlo 25% u više od jedne od poslednje tri godine</w:t>
            </w:r>
          </w:p>
        </w:tc>
      </w:tr>
    </w:tbl>
    <w:p w:rsidR="00261842" w:rsidRPr="001E4CDF" w:rsidRDefault="00261842">
      <w:pPr>
        <w:pStyle w:val="NormalBold"/>
        <w:numPr>
          <w:ilvl w:val="0"/>
          <w:numId w:val="0"/>
        </w:numPr>
        <w:jc w:val="both"/>
        <w:rPr>
          <w:sz w:val="20"/>
          <w:szCs w:val="24"/>
          <w:lang w:val="sr-Latn-RS"/>
        </w:rPr>
      </w:pPr>
    </w:p>
    <w:p w:rsidR="00261842" w:rsidRPr="001E4CDF" w:rsidRDefault="00261842">
      <w:pPr>
        <w:spacing w:line="260" w:lineRule="auto"/>
        <w:jc w:val="both"/>
        <w:rPr>
          <w:szCs w:val="24"/>
          <w:lang w:val="sr-Latn-RS"/>
        </w:rPr>
      </w:pPr>
      <w:r w:rsidRPr="001E4CDF">
        <w:rPr>
          <w:szCs w:val="24"/>
          <w:lang w:val="sr-Latn-RS"/>
        </w:rPr>
        <w:t>Ovaj indikator procenjuje koliko dobro centralna vlada integriše svoju podršku u proces donošenja budžeta opštine, tako da se to blagovremeno odražavalo na sve raspoložive resurse.</w:t>
      </w:r>
    </w:p>
    <w:p w:rsidR="00261842" w:rsidRPr="001E4CDF" w:rsidRDefault="00261842">
      <w:pPr>
        <w:jc w:val="both"/>
        <w:rPr>
          <w:b/>
          <w:szCs w:val="24"/>
          <w:lang w:val="sr-Latn-RS"/>
        </w:rPr>
      </w:pPr>
    </w:p>
    <w:p w:rsidR="00261842" w:rsidRPr="008E11A2" w:rsidRDefault="00261842">
      <w:pPr>
        <w:spacing w:line="260" w:lineRule="auto"/>
        <w:rPr>
          <w:b/>
          <w:szCs w:val="24"/>
          <w:lang w:val="sr-Latn-RS"/>
        </w:rPr>
      </w:pPr>
      <w:r w:rsidRPr="001E4CDF">
        <w:rPr>
          <w:szCs w:val="24"/>
          <w:lang w:val="sr-Latn-RS"/>
        </w:rPr>
        <w:t xml:space="preserve">(i) </w:t>
      </w:r>
      <w:r w:rsidRPr="008E11A2">
        <w:rPr>
          <w:b/>
          <w:szCs w:val="24"/>
          <w:lang w:val="sr-Latn-RS"/>
        </w:rPr>
        <w:t>Godišnje odstupanje stvarnih ukupnih transfera HLG (viši nivo vlasti) od prvobitno ukupno procenjenog iznosa koje HLG obezbeđuje opštini za uključivanje u budžet</w:t>
      </w:r>
    </w:p>
    <w:p w:rsidR="00261842" w:rsidRPr="001E4CDF" w:rsidRDefault="00261842">
      <w:pPr>
        <w:rPr>
          <w:b/>
          <w:szCs w:val="24"/>
          <w:lang w:val="sr-Latn-RS"/>
        </w:rPr>
      </w:pPr>
    </w:p>
    <w:p w:rsidR="00261842" w:rsidRDefault="00261842">
      <w:pPr>
        <w:spacing w:line="260" w:lineRule="auto"/>
        <w:jc w:val="both"/>
        <w:rPr>
          <w:szCs w:val="24"/>
          <w:lang w:val="sr-Latn-RS"/>
        </w:rPr>
      </w:pPr>
      <w:r w:rsidRPr="001E4CDF">
        <w:rPr>
          <w:szCs w:val="24"/>
          <w:lang w:val="sr-Latn-RS"/>
        </w:rPr>
        <w:t>Budžetirani i stvarni prenos poreza na dohodak (80% od poreza na dohodak prikupljen u opštini) i opšti i namenski transferi iz centralne vlade u opštinu su sledeći:</w:t>
      </w:r>
    </w:p>
    <w:p w:rsidR="007571BE" w:rsidRDefault="007571BE">
      <w:pPr>
        <w:spacing w:line="260" w:lineRule="auto"/>
        <w:jc w:val="both"/>
        <w:rPr>
          <w:szCs w:val="24"/>
          <w:lang w:val="sr-Latn-RS"/>
        </w:rPr>
      </w:pPr>
    </w:p>
    <w:p w:rsidR="007571BE" w:rsidRPr="001E4CDF" w:rsidRDefault="007571BE">
      <w:pPr>
        <w:spacing w:line="260" w:lineRule="auto"/>
        <w:jc w:val="both"/>
        <w:rPr>
          <w:szCs w:val="24"/>
          <w:lang w:val="sr-Latn-RS"/>
        </w:rPr>
      </w:pPr>
    </w:p>
    <w:p w:rsidR="00261842" w:rsidRPr="001E4CDF" w:rsidRDefault="00261842">
      <w:pPr>
        <w:rPr>
          <w:szCs w:val="24"/>
          <w:lang w:val="sr-Latn-RS"/>
        </w:rPr>
      </w:pPr>
    </w:p>
    <w:tbl>
      <w:tblPr>
        <w:tblW w:w="9713" w:type="dxa"/>
        <w:tblLayout w:type="fixed"/>
        <w:tblLook w:val="04A0" w:firstRow="1" w:lastRow="0" w:firstColumn="1" w:lastColumn="0" w:noHBand="0" w:noVBand="1"/>
      </w:tblPr>
      <w:tblGrid>
        <w:gridCol w:w="1271"/>
        <w:gridCol w:w="1129"/>
        <w:gridCol w:w="816"/>
        <w:gridCol w:w="1071"/>
        <w:gridCol w:w="816"/>
        <w:gridCol w:w="816"/>
        <w:gridCol w:w="1071"/>
        <w:gridCol w:w="816"/>
        <w:gridCol w:w="836"/>
        <w:gridCol w:w="1071"/>
      </w:tblGrid>
      <w:tr w:rsidR="00261842" w:rsidRPr="00C03E15">
        <w:trPr>
          <w:trHeight w:val="255"/>
        </w:trPr>
        <w:tc>
          <w:tcPr>
            <w:tcW w:w="1271"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rPr>
                <w:sz w:val="20"/>
                <w:szCs w:val="24"/>
                <w:lang w:val="sr-Latn-RS"/>
              </w:rPr>
            </w:pPr>
          </w:p>
        </w:tc>
        <w:tc>
          <w:tcPr>
            <w:tcW w:w="1945" w:type="dxa"/>
            <w:gridSpan w:val="2"/>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r w:rsidRPr="00C03E15">
              <w:rPr>
                <w:sz w:val="20"/>
                <w:szCs w:val="24"/>
                <w:lang w:val="sr-Latn-RS"/>
              </w:rPr>
              <w:t>2011</w:t>
            </w:r>
          </w:p>
        </w:tc>
        <w:tc>
          <w:tcPr>
            <w:tcW w:w="1071" w:type="dxa"/>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 w:val="20"/>
                <w:szCs w:val="24"/>
                <w:lang w:val="sr-Latn-RS"/>
              </w:rPr>
            </w:pPr>
          </w:p>
        </w:tc>
        <w:tc>
          <w:tcPr>
            <w:tcW w:w="1632" w:type="dxa"/>
            <w:gridSpan w:val="2"/>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r w:rsidRPr="00C03E15">
              <w:rPr>
                <w:sz w:val="20"/>
                <w:szCs w:val="24"/>
                <w:lang w:val="sr-Latn-RS"/>
              </w:rPr>
              <w:t>2012</w:t>
            </w:r>
          </w:p>
        </w:tc>
        <w:tc>
          <w:tcPr>
            <w:tcW w:w="1071" w:type="dxa"/>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 w:val="20"/>
                <w:szCs w:val="24"/>
                <w:lang w:val="sr-Latn-RS"/>
              </w:rPr>
            </w:pPr>
          </w:p>
        </w:tc>
        <w:tc>
          <w:tcPr>
            <w:tcW w:w="1652" w:type="dxa"/>
            <w:gridSpan w:val="2"/>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r w:rsidRPr="00C03E15">
              <w:rPr>
                <w:sz w:val="20"/>
                <w:szCs w:val="24"/>
                <w:lang w:val="sr-Latn-RS"/>
              </w:rPr>
              <w:t>2013</w:t>
            </w:r>
          </w:p>
        </w:tc>
        <w:tc>
          <w:tcPr>
            <w:tcW w:w="1071" w:type="dxa"/>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right"/>
              <w:rPr>
                <w:sz w:val="20"/>
                <w:szCs w:val="24"/>
                <w:lang w:val="sr-Latn-RS"/>
              </w:rPr>
            </w:pPr>
          </w:p>
        </w:tc>
      </w:tr>
      <w:tr w:rsidR="00261842" w:rsidRPr="00C03E15" w:rsidTr="007571BE">
        <w:trPr>
          <w:trHeight w:val="255"/>
        </w:trPr>
        <w:tc>
          <w:tcPr>
            <w:tcW w:w="1271"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 w:val="20"/>
                <w:szCs w:val="24"/>
                <w:lang w:val="sr-Latn-RS"/>
              </w:rPr>
            </w:pPr>
          </w:p>
        </w:tc>
        <w:tc>
          <w:tcPr>
            <w:tcW w:w="1129" w:type="dxa"/>
            <w:tcBorders>
              <w:top w:val="single" w:sz="4" w:space="0" w:color="auto"/>
              <w:left w:val="single" w:sz="4" w:space="0" w:color="auto"/>
              <w:bottom w:val="single" w:sz="4" w:space="0" w:color="auto"/>
              <w:right w:val="nil"/>
            </w:tcBorders>
            <w:noWrap/>
            <w:vAlign w:val="center"/>
            <w:hideMark/>
          </w:tcPr>
          <w:p w:rsidR="00261842" w:rsidRPr="00C03E15" w:rsidRDefault="00261842" w:rsidP="007571BE">
            <w:pPr>
              <w:spacing w:line="240" w:lineRule="auto"/>
              <w:jc w:val="center"/>
              <w:rPr>
                <w:sz w:val="12"/>
                <w:szCs w:val="24"/>
                <w:lang w:val="sr-Latn-RS"/>
              </w:rPr>
            </w:pPr>
            <w:r w:rsidRPr="00C03E15">
              <w:rPr>
                <w:sz w:val="12"/>
                <w:szCs w:val="24"/>
                <w:lang w:val="sr-Latn-RS"/>
              </w:rPr>
              <w:t>Budžetirano</w:t>
            </w:r>
          </w:p>
        </w:tc>
        <w:tc>
          <w:tcPr>
            <w:tcW w:w="816" w:type="dxa"/>
            <w:tcBorders>
              <w:top w:val="single" w:sz="4" w:space="0" w:color="auto"/>
              <w:left w:val="nil"/>
              <w:bottom w:val="single" w:sz="4" w:space="0" w:color="auto"/>
              <w:right w:val="single" w:sz="4" w:space="0" w:color="auto"/>
            </w:tcBorders>
            <w:noWrap/>
            <w:vAlign w:val="center"/>
            <w:hideMark/>
          </w:tcPr>
          <w:p w:rsidR="00261842" w:rsidRPr="00C03E15" w:rsidRDefault="00261842" w:rsidP="007571BE">
            <w:pPr>
              <w:spacing w:line="240" w:lineRule="auto"/>
              <w:jc w:val="center"/>
              <w:rPr>
                <w:sz w:val="12"/>
                <w:szCs w:val="24"/>
                <w:lang w:val="sr-Latn-RS"/>
              </w:rPr>
            </w:pPr>
            <w:r w:rsidRPr="00C03E15">
              <w:rPr>
                <w:sz w:val="12"/>
                <w:szCs w:val="24"/>
                <w:lang w:val="sr-Latn-RS"/>
              </w:rPr>
              <w:t>Ostvareno</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61842" w:rsidRPr="00C03E15" w:rsidRDefault="00261842" w:rsidP="007571BE">
            <w:pPr>
              <w:spacing w:line="240" w:lineRule="auto"/>
              <w:jc w:val="center"/>
              <w:rPr>
                <w:sz w:val="12"/>
                <w:szCs w:val="24"/>
                <w:lang w:val="sr-Latn-RS"/>
              </w:rPr>
            </w:pPr>
            <w:r w:rsidRPr="00C03E15">
              <w:rPr>
                <w:sz w:val="12"/>
                <w:szCs w:val="24"/>
                <w:lang w:val="sr-Latn-RS"/>
              </w:rPr>
              <w:t>Razlika</w:t>
            </w:r>
          </w:p>
        </w:tc>
        <w:tc>
          <w:tcPr>
            <w:tcW w:w="816" w:type="dxa"/>
            <w:tcBorders>
              <w:top w:val="single" w:sz="4" w:space="0" w:color="auto"/>
              <w:left w:val="single" w:sz="4" w:space="0" w:color="auto"/>
              <w:bottom w:val="nil"/>
              <w:right w:val="nil"/>
            </w:tcBorders>
            <w:noWrap/>
            <w:vAlign w:val="center"/>
            <w:hideMark/>
          </w:tcPr>
          <w:p w:rsidR="00261842" w:rsidRPr="00C03E15" w:rsidRDefault="00261842" w:rsidP="007571BE">
            <w:pPr>
              <w:spacing w:line="240" w:lineRule="auto"/>
              <w:jc w:val="center"/>
              <w:rPr>
                <w:sz w:val="12"/>
                <w:szCs w:val="24"/>
                <w:lang w:val="sr-Latn-RS"/>
              </w:rPr>
            </w:pPr>
            <w:r w:rsidRPr="00C03E15">
              <w:rPr>
                <w:sz w:val="12"/>
                <w:szCs w:val="24"/>
                <w:lang w:val="sr-Latn-RS"/>
              </w:rPr>
              <w:t>Budžetirano</w:t>
            </w:r>
          </w:p>
        </w:tc>
        <w:tc>
          <w:tcPr>
            <w:tcW w:w="816" w:type="dxa"/>
            <w:tcBorders>
              <w:top w:val="single" w:sz="4" w:space="0" w:color="auto"/>
              <w:left w:val="nil"/>
              <w:bottom w:val="nil"/>
              <w:right w:val="single" w:sz="4" w:space="0" w:color="auto"/>
            </w:tcBorders>
            <w:noWrap/>
            <w:vAlign w:val="center"/>
            <w:hideMark/>
          </w:tcPr>
          <w:p w:rsidR="00261842" w:rsidRPr="00C03E15" w:rsidRDefault="00261842" w:rsidP="007571BE">
            <w:pPr>
              <w:spacing w:line="240" w:lineRule="auto"/>
              <w:jc w:val="center"/>
              <w:rPr>
                <w:sz w:val="12"/>
                <w:szCs w:val="24"/>
                <w:lang w:val="sr-Latn-RS"/>
              </w:rPr>
            </w:pPr>
            <w:r w:rsidRPr="00C03E15">
              <w:rPr>
                <w:sz w:val="12"/>
                <w:szCs w:val="24"/>
                <w:lang w:val="sr-Latn-RS"/>
              </w:rPr>
              <w:t>Ostvareno</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61842" w:rsidRPr="00C03E15" w:rsidRDefault="00261842" w:rsidP="007571BE">
            <w:pPr>
              <w:spacing w:line="240" w:lineRule="auto"/>
              <w:jc w:val="center"/>
              <w:rPr>
                <w:sz w:val="12"/>
                <w:szCs w:val="24"/>
                <w:lang w:val="sr-Latn-RS"/>
              </w:rPr>
            </w:pPr>
            <w:r w:rsidRPr="00C03E15">
              <w:rPr>
                <w:sz w:val="12"/>
                <w:szCs w:val="24"/>
                <w:lang w:val="sr-Latn-RS"/>
              </w:rPr>
              <w:t>Razlika</w:t>
            </w:r>
          </w:p>
        </w:tc>
        <w:tc>
          <w:tcPr>
            <w:tcW w:w="816" w:type="dxa"/>
            <w:tcBorders>
              <w:top w:val="single" w:sz="4" w:space="0" w:color="auto"/>
              <w:left w:val="single" w:sz="4" w:space="0" w:color="auto"/>
              <w:bottom w:val="nil"/>
              <w:right w:val="nil"/>
            </w:tcBorders>
            <w:noWrap/>
            <w:vAlign w:val="center"/>
            <w:hideMark/>
          </w:tcPr>
          <w:p w:rsidR="00261842" w:rsidRPr="00C03E15" w:rsidRDefault="00261842" w:rsidP="007571BE">
            <w:pPr>
              <w:spacing w:line="240" w:lineRule="auto"/>
              <w:jc w:val="center"/>
              <w:rPr>
                <w:sz w:val="12"/>
                <w:szCs w:val="24"/>
                <w:lang w:val="sr-Latn-RS"/>
              </w:rPr>
            </w:pPr>
            <w:r w:rsidRPr="00C03E15">
              <w:rPr>
                <w:sz w:val="12"/>
                <w:szCs w:val="24"/>
                <w:lang w:val="sr-Latn-RS"/>
              </w:rPr>
              <w:t>Budžetirano</w:t>
            </w:r>
          </w:p>
        </w:tc>
        <w:tc>
          <w:tcPr>
            <w:tcW w:w="836" w:type="dxa"/>
            <w:tcBorders>
              <w:top w:val="single" w:sz="4" w:space="0" w:color="auto"/>
              <w:left w:val="nil"/>
              <w:bottom w:val="nil"/>
              <w:right w:val="single" w:sz="4" w:space="0" w:color="auto"/>
            </w:tcBorders>
            <w:vAlign w:val="center"/>
          </w:tcPr>
          <w:p w:rsidR="00261842" w:rsidRPr="00C03E15" w:rsidRDefault="00261842" w:rsidP="007571BE">
            <w:pPr>
              <w:spacing w:line="240" w:lineRule="auto"/>
              <w:jc w:val="center"/>
              <w:rPr>
                <w:sz w:val="12"/>
                <w:szCs w:val="24"/>
                <w:lang w:val="sr-Latn-RS"/>
              </w:rPr>
            </w:pPr>
            <w:r w:rsidRPr="00C03E15">
              <w:rPr>
                <w:sz w:val="12"/>
                <w:szCs w:val="24"/>
                <w:lang w:val="sr-Latn-RS"/>
              </w:rPr>
              <w:t>Ostvareno</w:t>
            </w:r>
          </w:p>
        </w:tc>
        <w:tc>
          <w:tcPr>
            <w:tcW w:w="1071" w:type="dxa"/>
            <w:tcBorders>
              <w:top w:val="single" w:sz="4" w:space="0" w:color="auto"/>
              <w:left w:val="single" w:sz="4" w:space="0" w:color="auto"/>
              <w:bottom w:val="single" w:sz="4" w:space="0" w:color="auto"/>
              <w:right w:val="single" w:sz="4" w:space="0" w:color="auto"/>
            </w:tcBorders>
            <w:noWrap/>
            <w:vAlign w:val="center"/>
            <w:hideMark/>
          </w:tcPr>
          <w:p w:rsidR="00261842" w:rsidRPr="00C03E15" w:rsidRDefault="00261842" w:rsidP="007571BE">
            <w:pPr>
              <w:spacing w:line="240" w:lineRule="auto"/>
              <w:jc w:val="center"/>
              <w:rPr>
                <w:sz w:val="12"/>
                <w:szCs w:val="24"/>
                <w:lang w:val="sr-Latn-RS"/>
              </w:rPr>
            </w:pPr>
            <w:r w:rsidRPr="00C03E15">
              <w:rPr>
                <w:sz w:val="12"/>
                <w:szCs w:val="24"/>
                <w:lang w:val="sr-Latn-RS"/>
              </w:rPr>
              <w:t>Razlika</w:t>
            </w:r>
          </w:p>
        </w:tc>
      </w:tr>
      <w:tr w:rsidR="00261842" w:rsidRPr="00C03E15">
        <w:trPr>
          <w:trHeight w:val="255"/>
        </w:trPr>
        <w:tc>
          <w:tcPr>
            <w:tcW w:w="1271"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 w:val="20"/>
                <w:szCs w:val="24"/>
                <w:lang w:val="sr-Latn-RS"/>
              </w:rPr>
            </w:pPr>
          </w:p>
        </w:tc>
        <w:tc>
          <w:tcPr>
            <w:tcW w:w="1129" w:type="dxa"/>
            <w:tcBorders>
              <w:top w:val="single" w:sz="4" w:space="0" w:color="auto"/>
              <w:left w:val="single" w:sz="4" w:space="0" w:color="auto"/>
              <w:bottom w:val="nil"/>
              <w:right w:val="nil"/>
            </w:tcBorders>
            <w:noWrap/>
            <w:vAlign w:val="bottom"/>
            <w:hideMark/>
          </w:tcPr>
          <w:p w:rsidR="00261842" w:rsidRPr="00C03E15" w:rsidRDefault="00261842">
            <w:pPr>
              <w:spacing w:line="240" w:lineRule="auto"/>
              <w:rPr>
                <w:sz w:val="20"/>
                <w:szCs w:val="24"/>
                <w:lang w:val="sr-Latn-RS"/>
              </w:rPr>
            </w:pPr>
            <w:r w:rsidRPr="00C03E15">
              <w:rPr>
                <w:sz w:val="20"/>
                <w:szCs w:val="24"/>
                <w:lang w:val="sr-Latn-RS"/>
              </w:rPr>
              <w:t xml:space="preserve"> </w:t>
            </w:r>
          </w:p>
        </w:tc>
        <w:tc>
          <w:tcPr>
            <w:tcW w:w="816" w:type="dxa"/>
            <w:tcBorders>
              <w:top w:val="single" w:sz="4" w:space="0" w:color="auto"/>
              <w:left w:val="nil"/>
              <w:bottom w:val="nil"/>
              <w:right w:val="single" w:sz="4" w:space="0" w:color="auto"/>
            </w:tcBorders>
            <w:noWrap/>
            <w:vAlign w:val="bottom"/>
            <w:hideMark/>
          </w:tcPr>
          <w:p w:rsidR="00261842" w:rsidRPr="00C03E15" w:rsidRDefault="00261842">
            <w:pPr>
              <w:spacing w:line="240" w:lineRule="auto"/>
              <w:rPr>
                <w:sz w:val="20"/>
                <w:szCs w:val="24"/>
                <w:lang w:val="sr-Latn-RS"/>
              </w:rPr>
            </w:pPr>
          </w:p>
        </w:tc>
        <w:tc>
          <w:tcPr>
            <w:tcW w:w="1071"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rPr>
                <w:sz w:val="20"/>
                <w:szCs w:val="24"/>
                <w:lang w:val="sr-Latn-RS"/>
              </w:rPr>
            </w:pPr>
          </w:p>
        </w:tc>
        <w:tc>
          <w:tcPr>
            <w:tcW w:w="816" w:type="dxa"/>
            <w:tcBorders>
              <w:top w:val="single" w:sz="4" w:space="0" w:color="auto"/>
              <w:left w:val="single" w:sz="4" w:space="0" w:color="auto"/>
              <w:bottom w:val="nil"/>
              <w:right w:val="nil"/>
            </w:tcBorders>
            <w:noWrap/>
            <w:vAlign w:val="bottom"/>
            <w:hideMark/>
          </w:tcPr>
          <w:p w:rsidR="00261842" w:rsidRPr="00C03E15" w:rsidRDefault="00261842">
            <w:pPr>
              <w:spacing w:line="240" w:lineRule="auto"/>
              <w:rPr>
                <w:sz w:val="20"/>
                <w:szCs w:val="24"/>
                <w:lang w:val="sr-Latn-RS"/>
              </w:rPr>
            </w:pPr>
          </w:p>
        </w:tc>
        <w:tc>
          <w:tcPr>
            <w:tcW w:w="816" w:type="dxa"/>
            <w:tcBorders>
              <w:top w:val="single" w:sz="4" w:space="0" w:color="auto"/>
              <w:left w:val="nil"/>
              <w:bottom w:val="nil"/>
              <w:right w:val="single" w:sz="4" w:space="0" w:color="auto"/>
            </w:tcBorders>
            <w:noWrap/>
            <w:vAlign w:val="bottom"/>
            <w:hideMark/>
          </w:tcPr>
          <w:p w:rsidR="00261842" w:rsidRPr="00C03E15" w:rsidRDefault="00261842">
            <w:pPr>
              <w:spacing w:line="240" w:lineRule="auto"/>
              <w:rPr>
                <w:sz w:val="20"/>
                <w:szCs w:val="24"/>
                <w:lang w:val="sr-Latn-RS"/>
              </w:rPr>
            </w:pPr>
          </w:p>
        </w:tc>
        <w:tc>
          <w:tcPr>
            <w:tcW w:w="1071"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rPr>
                <w:sz w:val="20"/>
                <w:szCs w:val="24"/>
                <w:lang w:val="sr-Latn-RS"/>
              </w:rPr>
            </w:pPr>
          </w:p>
        </w:tc>
        <w:tc>
          <w:tcPr>
            <w:tcW w:w="816" w:type="dxa"/>
            <w:tcBorders>
              <w:top w:val="single" w:sz="4" w:space="0" w:color="auto"/>
              <w:left w:val="single" w:sz="4" w:space="0" w:color="auto"/>
              <w:bottom w:val="nil"/>
              <w:right w:val="nil"/>
            </w:tcBorders>
            <w:noWrap/>
            <w:vAlign w:val="bottom"/>
            <w:hideMark/>
          </w:tcPr>
          <w:p w:rsidR="00261842" w:rsidRPr="00C03E15" w:rsidRDefault="00261842">
            <w:pPr>
              <w:spacing w:line="240" w:lineRule="auto"/>
              <w:rPr>
                <w:sz w:val="20"/>
                <w:szCs w:val="24"/>
                <w:lang w:val="sr-Latn-RS"/>
              </w:rPr>
            </w:pPr>
          </w:p>
        </w:tc>
        <w:tc>
          <w:tcPr>
            <w:tcW w:w="836" w:type="dxa"/>
            <w:tcBorders>
              <w:top w:val="single" w:sz="4" w:space="0" w:color="auto"/>
              <w:left w:val="nil"/>
              <w:bottom w:val="nil"/>
              <w:right w:val="single" w:sz="4" w:space="0" w:color="auto"/>
            </w:tcBorders>
          </w:tcPr>
          <w:p w:rsidR="00261842" w:rsidRPr="00C03E15" w:rsidRDefault="00261842">
            <w:pPr>
              <w:spacing w:line="240" w:lineRule="auto"/>
              <w:rPr>
                <w:sz w:val="20"/>
                <w:szCs w:val="24"/>
                <w:lang w:val="sr-Latn-RS"/>
              </w:rPr>
            </w:pPr>
          </w:p>
        </w:tc>
        <w:tc>
          <w:tcPr>
            <w:tcW w:w="1071"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rPr>
                <w:sz w:val="20"/>
                <w:szCs w:val="24"/>
                <w:lang w:val="sr-Latn-RS"/>
              </w:rPr>
            </w:pPr>
          </w:p>
        </w:tc>
      </w:tr>
      <w:tr w:rsidR="00261842" w:rsidRPr="00C03E15">
        <w:trPr>
          <w:trHeight w:val="255"/>
        </w:trPr>
        <w:tc>
          <w:tcPr>
            <w:tcW w:w="1271"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Porez na d.</w:t>
            </w:r>
          </w:p>
        </w:tc>
        <w:tc>
          <w:tcPr>
            <w:tcW w:w="1129" w:type="dxa"/>
            <w:tcBorders>
              <w:top w:val="nil"/>
              <w:left w:val="single" w:sz="4" w:space="0" w:color="auto"/>
              <w:bottom w:val="nil"/>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48348</w:t>
            </w:r>
          </w:p>
        </w:tc>
        <w:tc>
          <w:tcPr>
            <w:tcW w:w="816" w:type="dxa"/>
            <w:tcBorders>
              <w:top w:val="nil"/>
              <w:left w:val="nil"/>
              <w:bottom w:val="nil"/>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45938</w:t>
            </w:r>
          </w:p>
        </w:tc>
        <w:tc>
          <w:tcPr>
            <w:tcW w:w="1071" w:type="dxa"/>
            <w:tcBorders>
              <w:top w:val="nil"/>
              <w:left w:val="single" w:sz="4" w:space="0" w:color="auto"/>
              <w:bottom w:val="nil"/>
              <w:right w:val="single" w:sz="4" w:space="0" w:color="auto"/>
            </w:tcBorders>
            <w:noWrap/>
            <w:vAlign w:val="bottom"/>
          </w:tcPr>
          <w:p w:rsidR="00261842" w:rsidRPr="00C03E15" w:rsidRDefault="00261842">
            <w:pPr>
              <w:spacing w:line="240" w:lineRule="auto"/>
              <w:jc w:val="right"/>
              <w:rPr>
                <w:sz w:val="20"/>
                <w:szCs w:val="24"/>
                <w:lang w:val="sr-Latn-RS"/>
              </w:rPr>
            </w:pPr>
          </w:p>
        </w:tc>
        <w:tc>
          <w:tcPr>
            <w:tcW w:w="816" w:type="dxa"/>
            <w:tcBorders>
              <w:top w:val="nil"/>
              <w:left w:val="single" w:sz="4" w:space="0" w:color="auto"/>
              <w:bottom w:val="nil"/>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85700</w:t>
            </w:r>
          </w:p>
        </w:tc>
        <w:tc>
          <w:tcPr>
            <w:tcW w:w="816" w:type="dxa"/>
            <w:tcBorders>
              <w:top w:val="nil"/>
              <w:left w:val="nil"/>
              <w:bottom w:val="nil"/>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76318</w:t>
            </w:r>
          </w:p>
        </w:tc>
        <w:tc>
          <w:tcPr>
            <w:tcW w:w="1071" w:type="dxa"/>
            <w:tcBorders>
              <w:top w:val="nil"/>
              <w:left w:val="single" w:sz="4" w:space="0" w:color="auto"/>
              <w:bottom w:val="nil"/>
              <w:right w:val="single" w:sz="4" w:space="0" w:color="auto"/>
            </w:tcBorders>
            <w:noWrap/>
            <w:vAlign w:val="bottom"/>
          </w:tcPr>
          <w:p w:rsidR="00261842" w:rsidRPr="00C03E15" w:rsidRDefault="00261842">
            <w:pPr>
              <w:spacing w:line="240" w:lineRule="auto"/>
              <w:jc w:val="right"/>
              <w:rPr>
                <w:sz w:val="20"/>
                <w:szCs w:val="24"/>
                <w:lang w:val="sr-Latn-RS"/>
              </w:rPr>
            </w:pPr>
          </w:p>
        </w:tc>
        <w:tc>
          <w:tcPr>
            <w:tcW w:w="816" w:type="dxa"/>
            <w:tcBorders>
              <w:top w:val="nil"/>
              <w:left w:val="single" w:sz="4" w:space="0" w:color="auto"/>
              <w:bottom w:val="nil"/>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81730</w:t>
            </w:r>
          </w:p>
        </w:tc>
        <w:tc>
          <w:tcPr>
            <w:tcW w:w="836" w:type="dxa"/>
            <w:tcBorders>
              <w:top w:val="nil"/>
              <w:left w:val="nil"/>
              <w:bottom w:val="nil"/>
              <w:right w:val="single" w:sz="4" w:space="0" w:color="auto"/>
            </w:tcBorders>
            <w:vAlign w:val="bottom"/>
          </w:tcPr>
          <w:p w:rsidR="00261842" w:rsidRPr="00C03E15" w:rsidRDefault="00261842">
            <w:pPr>
              <w:spacing w:line="240" w:lineRule="auto"/>
              <w:jc w:val="right"/>
              <w:rPr>
                <w:sz w:val="20"/>
                <w:szCs w:val="24"/>
                <w:lang w:val="sr-Latn-RS"/>
              </w:rPr>
            </w:pPr>
            <w:r w:rsidRPr="00C03E15">
              <w:rPr>
                <w:sz w:val="20"/>
                <w:szCs w:val="24"/>
                <w:lang w:val="sr-Latn-RS"/>
              </w:rPr>
              <w:t>69347</w:t>
            </w:r>
          </w:p>
        </w:tc>
        <w:tc>
          <w:tcPr>
            <w:tcW w:w="1071" w:type="dxa"/>
            <w:tcBorders>
              <w:top w:val="nil"/>
              <w:left w:val="single" w:sz="4" w:space="0" w:color="auto"/>
              <w:bottom w:val="nil"/>
              <w:right w:val="single" w:sz="4" w:space="0" w:color="auto"/>
            </w:tcBorders>
            <w:noWrap/>
            <w:vAlign w:val="bottom"/>
          </w:tcPr>
          <w:p w:rsidR="00261842" w:rsidRPr="00C03E15" w:rsidRDefault="00261842">
            <w:pPr>
              <w:spacing w:line="240" w:lineRule="auto"/>
              <w:jc w:val="right"/>
              <w:rPr>
                <w:sz w:val="20"/>
                <w:szCs w:val="24"/>
                <w:lang w:val="sr-Latn-RS"/>
              </w:rPr>
            </w:pPr>
          </w:p>
        </w:tc>
      </w:tr>
      <w:tr w:rsidR="00261842" w:rsidRPr="00C03E15">
        <w:trPr>
          <w:trHeight w:val="255"/>
        </w:trPr>
        <w:tc>
          <w:tcPr>
            <w:tcW w:w="1271"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Opšti transferi</w:t>
            </w:r>
          </w:p>
        </w:tc>
        <w:tc>
          <w:tcPr>
            <w:tcW w:w="1129" w:type="dxa"/>
            <w:tcBorders>
              <w:top w:val="nil"/>
              <w:left w:val="single" w:sz="4" w:space="0" w:color="auto"/>
              <w:bottom w:val="nil"/>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125934</w:t>
            </w:r>
          </w:p>
        </w:tc>
        <w:tc>
          <w:tcPr>
            <w:tcW w:w="816" w:type="dxa"/>
            <w:tcBorders>
              <w:top w:val="nil"/>
              <w:left w:val="nil"/>
              <w:bottom w:val="nil"/>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112469</w:t>
            </w:r>
          </w:p>
        </w:tc>
        <w:tc>
          <w:tcPr>
            <w:tcW w:w="1071" w:type="dxa"/>
            <w:tcBorders>
              <w:top w:val="nil"/>
              <w:left w:val="single" w:sz="4" w:space="0" w:color="auto"/>
              <w:bottom w:val="nil"/>
              <w:right w:val="single" w:sz="4" w:space="0" w:color="auto"/>
            </w:tcBorders>
            <w:noWrap/>
            <w:vAlign w:val="bottom"/>
          </w:tcPr>
          <w:p w:rsidR="00261842" w:rsidRPr="00C03E15" w:rsidRDefault="00261842">
            <w:pPr>
              <w:spacing w:line="240" w:lineRule="auto"/>
              <w:jc w:val="right"/>
              <w:rPr>
                <w:sz w:val="20"/>
                <w:szCs w:val="24"/>
                <w:lang w:val="sr-Latn-RS"/>
              </w:rPr>
            </w:pPr>
          </w:p>
        </w:tc>
        <w:tc>
          <w:tcPr>
            <w:tcW w:w="816" w:type="dxa"/>
            <w:tcBorders>
              <w:top w:val="nil"/>
              <w:left w:val="single" w:sz="4" w:space="0" w:color="auto"/>
              <w:bottom w:val="nil"/>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177959</w:t>
            </w:r>
          </w:p>
        </w:tc>
        <w:tc>
          <w:tcPr>
            <w:tcW w:w="816" w:type="dxa"/>
            <w:tcBorders>
              <w:top w:val="nil"/>
              <w:left w:val="nil"/>
              <w:bottom w:val="nil"/>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177386</w:t>
            </w:r>
          </w:p>
        </w:tc>
        <w:tc>
          <w:tcPr>
            <w:tcW w:w="1071" w:type="dxa"/>
            <w:tcBorders>
              <w:top w:val="nil"/>
              <w:left w:val="single" w:sz="4" w:space="0" w:color="auto"/>
              <w:bottom w:val="nil"/>
              <w:right w:val="single" w:sz="4" w:space="0" w:color="auto"/>
            </w:tcBorders>
            <w:noWrap/>
            <w:vAlign w:val="bottom"/>
          </w:tcPr>
          <w:p w:rsidR="00261842" w:rsidRPr="00C03E15" w:rsidRDefault="00261842">
            <w:pPr>
              <w:spacing w:line="240" w:lineRule="auto"/>
              <w:jc w:val="right"/>
              <w:rPr>
                <w:sz w:val="20"/>
                <w:szCs w:val="24"/>
                <w:lang w:val="sr-Latn-RS"/>
              </w:rPr>
            </w:pPr>
          </w:p>
        </w:tc>
        <w:tc>
          <w:tcPr>
            <w:tcW w:w="816" w:type="dxa"/>
            <w:tcBorders>
              <w:top w:val="nil"/>
              <w:left w:val="single" w:sz="4" w:space="0" w:color="auto"/>
              <w:bottom w:val="nil"/>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178553</w:t>
            </w:r>
          </w:p>
        </w:tc>
        <w:tc>
          <w:tcPr>
            <w:tcW w:w="836" w:type="dxa"/>
            <w:tcBorders>
              <w:top w:val="nil"/>
              <w:left w:val="nil"/>
              <w:bottom w:val="nil"/>
              <w:right w:val="single" w:sz="4" w:space="0" w:color="auto"/>
            </w:tcBorders>
            <w:vAlign w:val="bottom"/>
          </w:tcPr>
          <w:p w:rsidR="00261842" w:rsidRPr="00C03E15" w:rsidRDefault="00261842">
            <w:pPr>
              <w:spacing w:line="240" w:lineRule="auto"/>
              <w:jc w:val="right"/>
              <w:rPr>
                <w:sz w:val="20"/>
                <w:szCs w:val="24"/>
                <w:lang w:val="sr-Latn-RS"/>
              </w:rPr>
            </w:pPr>
            <w:r w:rsidRPr="00C03E15">
              <w:rPr>
                <w:sz w:val="20"/>
                <w:szCs w:val="24"/>
                <w:lang w:val="sr-Latn-RS"/>
              </w:rPr>
              <w:t>184898</w:t>
            </w:r>
          </w:p>
        </w:tc>
        <w:tc>
          <w:tcPr>
            <w:tcW w:w="1071" w:type="dxa"/>
            <w:tcBorders>
              <w:top w:val="nil"/>
              <w:left w:val="single" w:sz="4" w:space="0" w:color="auto"/>
              <w:bottom w:val="nil"/>
              <w:right w:val="single" w:sz="4" w:space="0" w:color="auto"/>
            </w:tcBorders>
            <w:noWrap/>
            <w:vAlign w:val="bottom"/>
          </w:tcPr>
          <w:p w:rsidR="00261842" w:rsidRPr="00C03E15" w:rsidRDefault="00261842">
            <w:pPr>
              <w:spacing w:line="240" w:lineRule="auto"/>
              <w:jc w:val="right"/>
              <w:rPr>
                <w:sz w:val="20"/>
                <w:szCs w:val="24"/>
                <w:lang w:val="sr-Latn-RS"/>
              </w:rPr>
            </w:pPr>
          </w:p>
        </w:tc>
      </w:tr>
      <w:tr w:rsidR="00261842" w:rsidRPr="00C03E15">
        <w:trPr>
          <w:trHeight w:val="255"/>
        </w:trPr>
        <w:tc>
          <w:tcPr>
            <w:tcW w:w="1271" w:type="dxa"/>
            <w:tcBorders>
              <w:top w:val="nil"/>
              <w:left w:val="single" w:sz="4" w:space="0" w:color="auto"/>
              <w:bottom w:val="nil"/>
              <w:right w:val="single" w:sz="4" w:space="0" w:color="auto"/>
            </w:tcBorders>
            <w:noWrap/>
            <w:vAlign w:val="bottom"/>
          </w:tcPr>
          <w:p w:rsidR="00261842" w:rsidRPr="00C03E15" w:rsidRDefault="00261842">
            <w:pPr>
              <w:spacing w:line="240" w:lineRule="auto"/>
              <w:rPr>
                <w:szCs w:val="24"/>
                <w:lang w:val="sr-Latn-RS"/>
              </w:rPr>
            </w:pPr>
            <w:r w:rsidRPr="00C03E15">
              <w:rPr>
                <w:sz w:val="20"/>
                <w:szCs w:val="24"/>
                <w:lang w:val="sr-Latn-RS"/>
              </w:rPr>
              <w:t>Namenski transferi</w:t>
            </w:r>
          </w:p>
        </w:tc>
        <w:tc>
          <w:tcPr>
            <w:tcW w:w="1129" w:type="dxa"/>
            <w:tcBorders>
              <w:top w:val="nil"/>
              <w:left w:val="single" w:sz="4" w:space="0" w:color="auto"/>
              <w:bottom w:val="nil"/>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51999</w:t>
            </w:r>
          </w:p>
        </w:tc>
        <w:tc>
          <w:tcPr>
            <w:tcW w:w="816" w:type="dxa"/>
            <w:tcBorders>
              <w:top w:val="nil"/>
              <w:left w:val="nil"/>
              <w:bottom w:val="nil"/>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15632</w:t>
            </w:r>
          </w:p>
        </w:tc>
        <w:tc>
          <w:tcPr>
            <w:tcW w:w="1071" w:type="dxa"/>
            <w:tcBorders>
              <w:top w:val="nil"/>
              <w:left w:val="single" w:sz="4" w:space="0" w:color="auto"/>
              <w:bottom w:val="nil"/>
              <w:right w:val="single" w:sz="4" w:space="0" w:color="auto"/>
            </w:tcBorders>
            <w:noWrap/>
            <w:vAlign w:val="bottom"/>
          </w:tcPr>
          <w:p w:rsidR="00261842" w:rsidRPr="00C03E15" w:rsidRDefault="00261842">
            <w:pPr>
              <w:spacing w:line="240" w:lineRule="auto"/>
              <w:jc w:val="right"/>
              <w:rPr>
                <w:sz w:val="20"/>
                <w:szCs w:val="24"/>
                <w:lang w:val="sr-Latn-RS"/>
              </w:rPr>
            </w:pPr>
          </w:p>
        </w:tc>
        <w:tc>
          <w:tcPr>
            <w:tcW w:w="816" w:type="dxa"/>
            <w:tcBorders>
              <w:top w:val="nil"/>
              <w:left w:val="single" w:sz="4" w:space="0" w:color="auto"/>
              <w:bottom w:val="nil"/>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51147</w:t>
            </w:r>
          </w:p>
        </w:tc>
        <w:tc>
          <w:tcPr>
            <w:tcW w:w="816" w:type="dxa"/>
            <w:tcBorders>
              <w:top w:val="nil"/>
              <w:left w:val="nil"/>
              <w:bottom w:val="nil"/>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25560</w:t>
            </w:r>
          </w:p>
        </w:tc>
        <w:tc>
          <w:tcPr>
            <w:tcW w:w="1071" w:type="dxa"/>
            <w:tcBorders>
              <w:top w:val="nil"/>
              <w:left w:val="single" w:sz="4" w:space="0" w:color="auto"/>
              <w:bottom w:val="nil"/>
              <w:right w:val="single" w:sz="4" w:space="0" w:color="auto"/>
            </w:tcBorders>
            <w:noWrap/>
            <w:vAlign w:val="bottom"/>
          </w:tcPr>
          <w:p w:rsidR="00261842" w:rsidRPr="00C03E15" w:rsidRDefault="00261842">
            <w:pPr>
              <w:spacing w:line="240" w:lineRule="auto"/>
              <w:jc w:val="right"/>
              <w:rPr>
                <w:sz w:val="20"/>
                <w:szCs w:val="24"/>
                <w:lang w:val="sr-Latn-RS"/>
              </w:rPr>
            </w:pPr>
          </w:p>
        </w:tc>
        <w:tc>
          <w:tcPr>
            <w:tcW w:w="816" w:type="dxa"/>
            <w:tcBorders>
              <w:top w:val="nil"/>
              <w:left w:val="single" w:sz="4" w:space="0" w:color="auto"/>
              <w:bottom w:val="nil"/>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260283</w:t>
            </w:r>
          </w:p>
        </w:tc>
        <w:tc>
          <w:tcPr>
            <w:tcW w:w="836" w:type="dxa"/>
            <w:tcBorders>
              <w:top w:val="nil"/>
              <w:left w:val="nil"/>
              <w:bottom w:val="nil"/>
              <w:right w:val="single" w:sz="4" w:space="0" w:color="auto"/>
            </w:tcBorders>
            <w:vAlign w:val="bottom"/>
          </w:tcPr>
          <w:p w:rsidR="00261842" w:rsidRPr="00C03E15" w:rsidRDefault="00261842">
            <w:pPr>
              <w:spacing w:line="240" w:lineRule="auto"/>
              <w:jc w:val="right"/>
              <w:rPr>
                <w:sz w:val="20"/>
                <w:szCs w:val="24"/>
                <w:lang w:val="sr-Latn-RS"/>
              </w:rPr>
            </w:pPr>
            <w:r w:rsidRPr="00C03E15">
              <w:rPr>
                <w:sz w:val="20"/>
                <w:szCs w:val="24"/>
                <w:lang w:val="sr-Latn-RS"/>
              </w:rPr>
              <w:t>254245</w:t>
            </w:r>
          </w:p>
        </w:tc>
        <w:tc>
          <w:tcPr>
            <w:tcW w:w="1071" w:type="dxa"/>
            <w:tcBorders>
              <w:top w:val="nil"/>
              <w:left w:val="single" w:sz="4" w:space="0" w:color="auto"/>
              <w:bottom w:val="nil"/>
              <w:right w:val="single" w:sz="4" w:space="0" w:color="auto"/>
            </w:tcBorders>
            <w:noWrap/>
            <w:vAlign w:val="bottom"/>
          </w:tcPr>
          <w:p w:rsidR="00261842" w:rsidRPr="00C03E15" w:rsidRDefault="00261842">
            <w:pPr>
              <w:spacing w:line="240" w:lineRule="auto"/>
              <w:jc w:val="right"/>
              <w:rPr>
                <w:sz w:val="20"/>
                <w:szCs w:val="24"/>
                <w:lang w:val="sr-Latn-RS"/>
              </w:rPr>
            </w:pPr>
          </w:p>
        </w:tc>
      </w:tr>
      <w:tr w:rsidR="00261842" w:rsidRPr="00C03E15">
        <w:trPr>
          <w:trHeight w:val="255"/>
        </w:trPr>
        <w:tc>
          <w:tcPr>
            <w:tcW w:w="1271" w:type="dxa"/>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Ukupno</w:t>
            </w:r>
          </w:p>
        </w:tc>
        <w:tc>
          <w:tcPr>
            <w:tcW w:w="1129" w:type="dxa"/>
            <w:tcBorders>
              <w:top w:val="nil"/>
              <w:left w:val="single" w:sz="4" w:space="0" w:color="auto"/>
              <w:bottom w:val="single" w:sz="4" w:space="0" w:color="auto"/>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174282</w:t>
            </w:r>
          </w:p>
        </w:tc>
        <w:tc>
          <w:tcPr>
            <w:tcW w:w="816" w:type="dxa"/>
            <w:tcBorders>
              <w:top w:val="nil"/>
              <w:left w:val="nil"/>
              <w:bottom w:val="single" w:sz="4" w:space="0" w:color="auto"/>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158407</w:t>
            </w:r>
          </w:p>
        </w:tc>
        <w:tc>
          <w:tcPr>
            <w:tcW w:w="1071" w:type="dxa"/>
            <w:tcBorders>
              <w:top w:val="nil"/>
              <w:left w:val="single" w:sz="4" w:space="0" w:color="auto"/>
              <w:bottom w:val="single" w:sz="4" w:space="0" w:color="auto"/>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76.9</w:t>
            </w:r>
          </w:p>
        </w:tc>
        <w:tc>
          <w:tcPr>
            <w:tcW w:w="816" w:type="dxa"/>
            <w:tcBorders>
              <w:top w:val="nil"/>
              <w:left w:val="single" w:sz="4" w:space="0" w:color="auto"/>
              <w:bottom w:val="single" w:sz="4" w:space="0" w:color="auto"/>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263659</w:t>
            </w:r>
          </w:p>
        </w:tc>
        <w:tc>
          <w:tcPr>
            <w:tcW w:w="816" w:type="dxa"/>
            <w:tcBorders>
              <w:top w:val="nil"/>
              <w:left w:val="nil"/>
              <w:bottom w:val="single" w:sz="4" w:space="0" w:color="auto"/>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253704</w:t>
            </w:r>
          </w:p>
        </w:tc>
        <w:tc>
          <w:tcPr>
            <w:tcW w:w="1071" w:type="dxa"/>
            <w:tcBorders>
              <w:top w:val="nil"/>
              <w:left w:val="single" w:sz="4" w:space="0" w:color="auto"/>
              <w:bottom w:val="single" w:sz="4" w:space="0" w:color="auto"/>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88.7%</w:t>
            </w:r>
          </w:p>
        </w:tc>
        <w:tc>
          <w:tcPr>
            <w:tcW w:w="816" w:type="dxa"/>
            <w:tcBorders>
              <w:top w:val="nil"/>
              <w:left w:val="single" w:sz="4" w:space="0" w:color="auto"/>
              <w:bottom w:val="single" w:sz="4" w:space="0" w:color="auto"/>
              <w:right w:val="nil"/>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260283</w:t>
            </w:r>
          </w:p>
        </w:tc>
        <w:tc>
          <w:tcPr>
            <w:tcW w:w="836" w:type="dxa"/>
            <w:tcBorders>
              <w:top w:val="nil"/>
              <w:left w:val="nil"/>
              <w:bottom w:val="single" w:sz="4" w:space="0" w:color="auto"/>
              <w:right w:val="single" w:sz="4" w:space="0" w:color="auto"/>
            </w:tcBorders>
            <w:vAlign w:val="bottom"/>
          </w:tcPr>
          <w:p w:rsidR="00261842" w:rsidRPr="00C03E15" w:rsidRDefault="00261842">
            <w:pPr>
              <w:spacing w:line="240" w:lineRule="auto"/>
              <w:jc w:val="right"/>
              <w:rPr>
                <w:sz w:val="20"/>
                <w:szCs w:val="24"/>
                <w:lang w:val="sr-Latn-RS"/>
              </w:rPr>
            </w:pPr>
            <w:r w:rsidRPr="00C03E15">
              <w:rPr>
                <w:sz w:val="20"/>
                <w:szCs w:val="24"/>
                <w:lang w:val="sr-Latn-RS"/>
              </w:rPr>
              <w:t>254245</w:t>
            </w:r>
          </w:p>
        </w:tc>
        <w:tc>
          <w:tcPr>
            <w:tcW w:w="1071" w:type="dxa"/>
            <w:tcBorders>
              <w:top w:val="nil"/>
              <w:left w:val="single" w:sz="4" w:space="0" w:color="auto"/>
              <w:bottom w:val="single" w:sz="4" w:space="0" w:color="auto"/>
              <w:right w:val="single" w:sz="4" w:space="0" w:color="auto"/>
            </w:tcBorders>
            <w:noWrap/>
            <w:vAlign w:val="bottom"/>
          </w:tcPr>
          <w:p w:rsidR="00261842" w:rsidRPr="00C03E15" w:rsidRDefault="00261842">
            <w:pPr>
              <w:spacing w:line="240" w:lineRule="auto"/>
              <w:jc w:val="right"/>
              <w:rPr>
                <w:sz w:val="20"/>
                <w:szCs w:val="24"/>
                <w:lang w:val="sr-Latn-RS"/>
              </w:rPr>
            </w:pPr>
            <w:r w:rsidRPr="00C03E15">
              <w:rPr>
                <w:sz w:val="20"/>
                <w:szCs w:val="24"/>
                <w:lang w:val="sr-Latn-RS"/>
              </w:rPr>
              <w:t>97.7%</w:t>
            </w:r>
          </w:p>
        </w:tc>
      </w:tr>
    </w:tbl>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Ocena C</w:t>
      </w:r>
    </w:p>
    <w:p w:rsidR="00261842" w:rsidRPr="001E4CDF" w:rsidRDefault="00261842">
      <w:pPr>
        <w:spacing w:line="260" w:lineRule="auto"/>
        <w:rPr>
          <w:szCs w:val="24"/>
          <w:lang w:val="sr-Latn-RS"/>
        </w:rPr>
      </w:pPr>
      <w:r w:rsidRPr="001E4CDF">
        <w:rPr>
          <w:szCs w:val="24"/>
          <w:lang w:val="sr-Latn-RS"/>
        </w:rPr>
        <w:t>(</w:t>
      </w:r>
      <w:proofErr w:type="spellStart"/>
      <w:r w:rsidRPr="001E4CDF">
        <w:rPr>
          <w:szCs w:val="24"/>
          <w:lang w:val="sr-Latn-RS"/>
        </w:rPr>
        <w:t>ii</w:t>
      </w:r>
      <w:proofErr w:type="spellEnd"/>
      <w:r w:rsidRPr="001E4CDF">
        <w:rPr>
          <w:szCs w:val="24"/>
          <w:lang w:val="sr-Latn-RS"/>
        </w:rPr>
        <w:t xml:space="preserve">) </w:t>
      </w:r>
      <w:r w:rsidRPr="001E4CDF">
        <w:rPr>
          <w:b/>
          <w:szCs w:val="24"/>
          <w:lang w:val="sr-Latn-RS"/>
        </w:rPr>
        <w:t>Godišnje odstupanje između stvarnih i procenjenih prenosa namenskih transfera</w:t>
      </w:r>
    </w:p>
    <w:p w:rsidR="00261842" w:rsidRPr="001E4CDF" w:rsidRDefault="00261842">
      <w:pPr>
        <w:rPr>
          <w:szCs w:val="24"/>
          <w:lang w:val="sr-Latn-RS"/>
        </w:rPr>
      </w:pPr>
    </w:p>
    <w:p w:rsidR="00261842" w:rsidRPr="001E4CDF" w:rsidRDefault="00261842" w:rsidP="00C50142">
      <w:pPr>
        <w:spacing w:line="260" w:lineRule="auto"/>
        <w:jc w:val="both"/>
        <w:rPr>
          <w:szCs w:val="24"/>
          <w:lang w:val="sr-Latn-RS"/>
        </w:rPr>
      </w:pPr>
      <w:r w:rsidRPr="001E4CDF">
        <w:rPr>
          <w:szCs w:val="24"/>
          <w:lang w:val="sr-Latn-RS"/>
        </w:rPr>
        <w:t xml:space="preserve">Podaci o namenskim transferima budžetu su zbirni za kapitalne i tekuće transfere od centralne vlade.  </w:t>
      </w:r>
      <w:r w:rsidRPr="001E4CDF">
        <w:rPr>
          <w:color w:val="333333"/>
          <w:szCs w:val="24"/>
          <w:lang w:val="sr-Latn-RS"/>
        </w:rPr>
        <w:t>Namenski transferi se uglavnom odnose na projekte, što znači da zavise od rezultata u konku</w:t>
      </w:r>
      <w:r w:rsidR="00B04D0E">
        <w:rPr>
          <w:color w:val="333333"/>
          <w:szCs w:val="24"/>
          <w:lang w:val="sr-Latn-RS"/>
        </w:rPr>
        <w:t>r</w:t>
      </w:r>
      <w:r w:rsidRPr="001E4CDF">
        <w:rPr>
          <w:color w:val="333333"/>
          <w:szCs w:val="24"/>
          <w:lang w:val="sr-Latn-RS"/>
        </w:rPr>
        <w:t>enciji sa predlozima projekata iz drugih opština a ponekad i od raspoloživosti sredstava na centralnom nivou ili realizacije aranžmana sa stranim donatorima. Stoga se namenski prihodi obično ne budžetiraju što je omogućeno Zakonom o budžetskom sistemu (član 61, stav 9) po kome se u slučaju dod</w:t>
      </w:r>
      <w:r w:rsidR="008E11A2">
        <w:rPr>
          <w:color w:val="333333"/>
          <w:szCs w:val="24"/>
          <w:lang w:val="sr-Latn-RS"/>
        </w:rPr>
        <w:t>atnih rashoda srazmerno mogu po</w:t>
      </w:r>
      <w:r w:rsidRPr="001E4CDF">
        <w:rPr>
          <w:color w:val="333333"/>
          <w:szCs w:val="24"/>
          <w:lang w:val="sr-Latn-RS"/>
        </w:rPr>
        <w:t xml:space="preserve">većati </w:t>
      </w:r>
      <w:proofErr w:type="spellStart"/>
      <w:r w:rsidRPr="001E4CDF">
        <w:rPr>
          <w:color w:val="333333"/>
          <w:szCs w:val="24"/>
          <w:lang w:val="sr-Latn-RS"/>
        </w:rPr>
        <w:t>aproprijacije</w:t>
      </w:r>
      <w:proofErr w:type="spellEnd"/>
      <w:r w:rsidRPr="001E4CDF">
        <w:rPr>
          <w:color w:val="333333"/>
          <w:szCs w:val="24"/>
          <w:lang w:val="sr-Latn-RS"/>
        </w:rPr>
        <w:t>.</w:t>
      </w:r>
    </w:p>
    <w:p w:rsidR="00261842" w:rsidRPr="001E4CDF" w:rsidRDefault="00261842" w:rsidP="00C50142">
      <w:pPr>
        <w:spacing w:line="260" w:lineRule="auto"/>
        <w:jc w:val="both"/>
        <w:rPr>
          <w:szCs w:val="24"/>
          <w:lang w:val="sr-Latn-RS"/>
        </w:rPr>
      </w:pPr>
      <w:r w:rsidRPr="001E4CDF">
        <w:rPr>
          <w:szCs w:val="24"/>
          <w:lang w:val="sr-Latn-RS"/>
        </w:rPr>
        <w:t>Koristeći informacije iz budžeta</w:t>
      </w:r>
      <w:r w:rsidR="007C13B0">
        <w:rPr>
          <w:szCs w:val="24"/>
          <w:lang w:val="sr-Latn-RS"/>
        </w:rPr>
        <w:t>, namenskih transfera (sa detaljnim prikazom kapitalnih i tekućih izdataka)</w:t>
      </w:r>
      <w:r w:rsidRPr="001E4CDF">
        <w:rPr>
          <w:szCs w:val="24"/>
          <w:lang w:val="sr-Latn-RS"/>
        </w:rPr>
        <w:t xml:space="preserve"> i opštih transfera iz poreza na dohodak, sledeće odstupanje je izračunato:</w:t>
      </w:r>
    </w:p>
    <w:p w:rsidR="00261842" w:rsidRPr="001E4CDF" w:rsidRDefault="00261842">
      <w:pPr>
        <w:rPr>
          <w:szCs w:val="24"/>
          <w:lang w:val="sr-Latn-RS"/>
        </w:rPr>
      </w:pPr>
    </w:p>
    <w:tbl>
      <w:tblPr>
        <w:tblW w:w="5080" w:type="dxa"/>
        <w:tblLayout w:type="fixed"/>
        <w:tblLook w:val="04A0" w:firstRow="1" w:lastRow="0" w:firstColumn="1" w:lastColumn="0" w:noHBand="0" w:noVBand="1"/>
      </w:tblPr>
      <w:tblGrid>
        <w:gridCol w:w="2540"/>
        <w:gridCol w:w="2540"/>
      </w:tblGrid>
      <w:tr w:rsidR="00261842" w:rsidRPr="00C03E15">
        <w:trPr>
          <w:trHeight w:val="255"/>
        </w:trPr>
        <w:tc>
          <w:tcPr>
            <w:tcW w:w="2540" w:type="dxa"/>
            <w:tcBorders>
              <w:top w:val="single" w:sz="4" w:space="0" w:color="auto"/>
              <w:left w:val="single" w:sz="4" w:space="0" w:color="auto"/>
              <w:bottom w:val="nil"/>
              <w:right w:val="single" w:sz="4" w:space="0" w:color="auto"/>
            </w:tcBorders>
            <w:vAlign w:val="center"/>
          </w:tcPr>
          <w:p w:rsidR="00261842" w:rsidRPr="00C03E15" w:rsidRDefault="00261842">
            <w:pPr>
              <w:spacing w:line="240" w:lineRule="auto"/>
              <w:jc w:val="center"/>
              <w:rPr>
                <w:szCs w:val="24"/>
                <w:lang w:val="sr-Latn-RS"/>
              </w:rPr>
            </w:pPr>
            <w:r w:rsidRPr="001E4CDF">
              <w:rPr>
                <w:rFonts w:ascii="Arial" w:hAnsi="Arial"/>
                <w:sz w:val="20"/>
                <w:szCs w:val="24"/>
                <w:lang w:val="sr-Latn-RS"/>
              </w:rPr>
              <w:t> </w:t>
            </w:r>
          </w:p>
        </w:tc>
        <w:tc>
          <w:tcPr>
            <w:tcW w:w="2540" w:type="dxa"/>
            <w:tcBorders>
              <w:top w:val="single" w:sz="4" w:space="0" w:color="auto"/>
              <w:left w:val="single" w:sz="4" w:space="0" w:color="auto"/>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sz w:val="20"/>
                <w:szCs w:val="24"/>
                <w:lang w:val="sr-Latn-RS"/>
              </w:rPr>
              <w:t>(HLG-1 (</w:t>
            </w:r>
            <w:proofErr w:type="spellStart"/>
            <w:r w:rsidRPr="001E4CDF">
              <w:rPr>
                <w:rFonts w:ascii="Arial" w:hAnsi="Arial"/>
                <w:sz w:val="20"/>
                <w:szCs w:val="24"/>
                <w:lang w:val="sr-Latn-RS"/>
              </w:rPr>
              <w:t>ii</w:t>
            </w:r>
            <w:proofErr w:type="spellEnd"/>
            <w:r w:rsidRPr="001E4CDF">
              <w:rPr>
                <w:rFonts w:ascii="Arial" w:hAnsi="Arial"/>
                <w:sz w:val="20"/>
                <w:szCs w:val="24"/>
                <w:lang w:val="sr-Latn-RS"/>
              </w:rPr>
              <w:t xml:space="preserve">)) </w:t>
            </w:r>
          </w:p>
        </w:tc>
      </w:tr>
      <w:tr w:rsidR="00261842" w:rsidRPr="00C03E15" w:rsidTr="00D36564">
        <w:trPr>
          <w:trHeight w:val="255"/>
        </w:trPr>
        <w:tc>
          <w:tcPr>
            <w:tcW w:w="2540" w:type="dxa"/>
            <w:tcBorders>
              <w:top w:val="nil"/>
              <w:left w:val="single" w:sz="4" w:space="0" w:color="auto"/>
              <w:bottom w:val="single" w:sz="4" w:space="0" w:color="auto"/>
              <w:right w:val="single" w:sz="4" w:space="0" w:color="auto"/>
            </w:tcBorders>
            <w:vAlign w:val="center"/>
          </w:tcPr>
          <w:p w:rsidR="00261842" w:rsidRPr="00C03E15" w:rsidRDefault="00261842">
            <w:pPr>
              <w:spacing w:line="240" w:lineRule="auto"/>
              <w:jc w:val="center"/>
              <w:rPr>
                <w:szCs w:val="24"/>
                <w:lang w:val="sr-Latn-RS"/>
              </w:rPr>
            </w:pPr>
            <w:r w:rsidRPr="001E4CDF">
              <w:rPr>
                <w:rFonts w:ascii="Arial" w:hAnsi="Arial"/>
                <w:sz w:val="20"/>
                <w:szCs w:val="24"/>
                <w:lang w:val="sr-Latn-RS"/>
              </w:rPr>
              <w:t>Godina</w:t>
            </w:r>
          </w:p>
        </w:tc>
        <w:tc>
          <w:tcPr>
            <w:tcW w:w="2540" w:type="dxa"/>
            <w:tcBorders>
              <w:top w:val="nil"/>
              <w:left w:val="single" w:sz="4" w:space="0" w:color="auto"/>
              <w:bottom w:val="single" w:sz="4" w:space="0" w:color="auto"/>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sz w:val="20"/>
                <w:szCs w:val="24"/>
                <w:lang w:val="sr-Latn-RS"/>
              </w:rPr>
              <w:t>Odstupanje</w:t>
            </w:r>
          </w:p>
        </w:tc>
      </w:tr>
      <w:tr w:rsidR="00261842" w:rsidRPr="001E4CDF" w:rsidTr="00D36564">
        <w:trPr>
          <w:trHeight w:val="255"/>
        </w:trPr>
        <w:tc>
          <w:tcPr>
            <w:tcW w:w="2540" w:type="dxa"/>
            <w:tcBorders>
              <w:top w:val="single" w:sz="4" w:space="0" w:color="auto"/>
              <w:left w:val="single" w:sz="4" w:space="0" w:color="auto"/>
              <w:bottom w:val="nil"/>
              <w:right w:val="single" w:sz="4" w:space="0" w:color="auto"/>
            </w:tcBorders>
            <w:vAlign w:val="bottom"/>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2011</w:t>
            </w:r>
          </w:p>
        </w:tc>
        <w:tc>
          <w:tcPr>
            <w:tcW w:w="2540" w:type="dxa"/>
            <w:tcBorders>
              <w:top w:val="single" w:sz="4" w:space="0" w:color="auto"/>
              <w:left w:val="single" w:sz="4" w:space="0" w:color="auto"/>
              <w:bottom w:val="nil"/>
              <w:right w:val="single" w:sz="4" w:space="0" w:color="auto"/>
            </w:tcBorders>
            <w:noWrap/>
            <w:vAlign w:val="center"/>
            <w:hideMark/>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28.0%</w:t>
            </w:r>
          </w:p>
        </w:tc>
      </w:tr>
      <w:tr w:rsidR="00261842" w:rsidRPr="001E4CDF" w:rsidTr="00D36564">
        <w:trPr>
          <w:trHeight w:val="255"/>
        </w:trPr>
        <w:tc>
          <w:tcPr>
            <w:tcW w:w="2540" w:type="dxa"/>
            <w:tcBorders>
              <w:top w:val="nil"/>
              <w:left w:val="single" w:sz="4" w:space="0" w:color="auto"/>
              <w:bottom w:val="nil"/>
              <w:right w:val="single" w:sz="4" w:space="0" w:color="auto"/>
            </w:tcBorders>
            <w:vAlign w:val="bottom"/>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2012</w:t>
            </w:r>
          </w:p>
        </w:tc>
        <w:tc>
          <w:tcPr>
            <w:tcW w:w="2540" w:type="dxa"/>
            <w:tcBorders>
              <w:top w:val="nil"/>
              <w:left w:val="single" w:sz="4" w:space="0" w:color="auto"/>
              <w:bottom w:val="nil"/>
              <w:right w:val="single" w:sz="4" w:space="0" w:color="auto"/>
            </w:tcBorders>
            <w:noWrap/>
            <w:vAlign w:val="center"/>
            <w:hideMark/>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14.2%</w:t>
            </w:r>
          </w:p>
        </w:tc>
      </w:tr>
      <w:tr w:rsidR="00261842" w:rsidRPr="001E4CDF" w:rsidTr="00D36564">
        <w:trPr>
          <w:trHeight w:val="255"/>
        </w:trPr>
        <w:tc>
          <w:tcPr>
            <w:tcW w:w="2540" w:type="dxa"/>
            <w:tcBorders>
              <w:top w:val="nil"/>
              <w:left w:val="single" w:sz="4" w:space="0" w:color="auto"/>
              <w:bottom w:val="single" w:sz="4" w:space="0" w:color="auto"/>
              <w:right w:val="single" w:sz="4" w:space="0" w:color="auto"/>
            </w:tcBorders>
            <w:vAlign w:val="bottom"/>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2013</w:t>
            </w:r>
          </w:p>
        </w:tc>
        <w:tc>
          <w:tcPr>
            <w:tcW w:w="2540" w:type="dxa"/>
            <w:tcBorders>
              <w:top w:val="nil"/>
              <w:left w:val="single" w:sz="4" w:space="0" w:color="auto"/>
              <w:bottom w:val="single" w:sz="4" w:space="0" w:color="auto"/>
              <w:right w:val="single" w:sz="4" w:space="0" w:color="auto"/>
            </w:tcBorders>
            <w:noWrap/>
            <w:vAlign w:val="center"/>
            <w:hideMark/>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4.1%</w:t>
            </w:r>
          </w:p>
        </w:tc>
      </w:tr>
    </w:tbl>
    <w:p w:rsidR="007C13B0" w:rsidRDefault="00261842">
      <w:pPr>
        <w:spacing w:line="260" w:lineRule="auto"/>
        <w:rPr>
          <w:szCs w:val="24"/>
          <w:lang w:val="sr-Latn-RS"/>
        </w:rPr>
      </w:pPr>
      <w:r w:rsidRPr="001E4CDF">
        <w:rPr>
          <w:szCs w:val="24"/>
          <w:lang w:val="sr-Latn-RS"/>
        </w:rPr>
        <w:t xml:space="preserve"> </w:t>
      </w:r>
      <w:r w:rsidR="007C13B0">
        <w:rPr>
          <w:szCs w:val="24"/>
          <w:lang w:val="sr-Latn-RS"/>
        </w:rPr>
        <w:t xml:space="preserve">Međutim, detaljni prikaz namenskih transfera nije dat po sektorima tako da je nedovoljno informacija da bi se ova dimenzija ocenila. </w:t>
      </w:r>
    </w:p>
    <w:p w:rsidR="00261842" w:rsidRPr="001E4CDF" w:rsidRDefault="00261842">
      <w:pPr>
        <w:spacing w:line="260" w:lineRule="auto"/>
        <w:rPr>
          <w:szCs w:val="24"/>
          <w:lang w:val="sr-Latn-RS"/>
        </w:rPr>
      </w:pPr>
      <w:r w:rsidRPr="001E4CDF">
        <w:rPr>
          <w:szCs w:val="24"/>
          <w:lang w:val="sr-Latn-RS"/>
        </w:rPr>
        <w:t>Ocena D</w:t>
      </w:r>
    </w:p>
    <w:p w:rsidR="00261842" w:rsidRPr="001E4CDF" w:rsidRDefault="00261842">
      <w:pPr>
        <w:rPr>
          <w:szCs w:val="24"/>
          <w:lang w:val="sr-Latn-RS"/>
        </w:rPr>
      </w:pPr>
    </w:p>
    <w:p w:rsidR="00261842" w:rsidRPr="001E4CDF" w:rsidRDefault="00261842">
      <w:pPr>
        <w:spacing w:line="260" w:lineRule="auto"/>
        <w:jc w:val="both"/>
        <w:rPr>
          <w:b/>
          <w:szCs w:val="24"/>
          <w:lang w:val="sr-Latn-RS"/>
        </w:rPr>
      </w:pPr>
      <w:r w:rsidRPr="001E4CDF">
        <w:rPr>
          <w:szCs w:val="24"/>
          <w:lang w:val="sr-Latn-RS"/>
        </w:rPr>
        <w:t>(</w:t>
      </w:r>
      <w:proofErr w:type="spellStart"/>
      <w:r w:rsidRPr="001E4CDF">
        <w:rPr>
          <w:szCs w:val="24"/>
          <w:lang w:val="sr-Latn-RS"/>
        </w:rPr>
        <w:t>iii</w:t>
      </w:r>
      <w:proofErr w:type="spellEnd"/>
      <w:r w:rsidRPr="001E4CDF">
        <w:rPr>
          <w:szCs w:val="24"/>
          <w:lang w:val="sr-Latn-RS"/>
        </w:rPr>
        <w:t xml:space="preserve">) </w:t>
      </w:r>
      <w:proofErr w:type="spellStart"/>
      <w:r w:rsidRPr="001E4CDF">
        <w:rPr>
          <w:b/>
          <w:szCs w:val="24"/>
          <w:lang w:val="sr-Latn-RS"/>
        </w:rPr>
        <w:t>Blagovremenost</w:t>
      </w:r>
      <w:proofErr w:type="spellEnd"/>
      <w:r w:rsidRPr="001E4CDF">
        <w:rPr>
          <w:b/>
          <w:szCs w:val="24"/>
          <w:lang w:val="sr-Latn-RS"/>
        </w:rPr>
        <w:t xml:space="preserve"> transfera iz HLG u toku godine (u skladu sa rasporedom za  distribuciju isplata u toku godine, dogovoreno u roku od mesec dana od početka budžetske godine te lokalne samouprave)</w:t>
      </w:r>
    </w:p>
    <w:p w:rsidR="00261842" w:rsidRPr="001E4CDF" w:rsidRDefault="00261842">
      <w:pPr>
        <w:rPr>
          <w:szCs w:val="24"/>
          <w:lang w:val="sr-Latn-RS"/>
        </w:rPr>
      </w:pPr>
    </w:p>
    <w:p w:rsidR="00261842" w:rsidRDefault="00261842">
      <w:pPr>
        <w:spacing w:line="260" w:lineRule="auto"/>
        <w:rPr>
          <w:szCs w:val="24"/>
          <w:lang w:val="sr-Latn-RS"/>
        </w:rPr>
      </w:pPr>
      <w:r w:rsidRPr="001E4CDF">
        <w:rPr>
          <w:szCs w:val="24"/>
          <w:lang w:val="sr-Latn-RS"/>
        </w:rPr>
        <w:t>Utvrđen je raspored 12 jednakih tranši za opšte transfere i toga se pridržavaju svi.  Ocena A</w:t>
      </w:r>
    </w:p>
    <w:p w:rsidR="00C50142" w:rsidRDefault="00C50142">
      <w:pPr>
        <w:spacing w:line="260" w:lineRule="auto"/>
        <w:rPr>
          <w:szCs w:val="24"/>
          <w:lang w:val="sr-Latn-RS"/>
        </w:rPr>
      </w:pPr>
    </w:p>
    <w:p w:rsidR="00C50142" w:rsidRDefault="00C50142">
      <w:pPr>
        <w:spacing w:line="260" w:lineRule="auto"/>
        <w:rPr>
          <w:szCs w:val="24"/>
          <w:lang w:val="sr-Latn-RS"/>
        </w:rPr>
      </w:pPr>
    </w:p>
    <w:p w:rsidR="00C50142" w:rsidRDefault="00C50142">
      <w:pPr>
        <w:spacing w:line="260" w:lineRule="auto"/>
        <w:rPr>
          <w:szCs w:val="24"/>
          <w:lang w:val="sr-Latn-RS"/>
        </w:rPr>
      </w:pPr>
    </w:p>
    <w:p w:rsidR="00C50142" w:rsidRPr="001E4CDF" w:rsidRDefault="00C50142">
      <w:pPr>
        <w:spacing w:line="260" w:lineRule="auto"/>
        <w:rPr>
          <w:szCs w:val="24"/>
          <w:lang w:val="sr-Latn-RS"/>
        </w:rPr>
      </w:pPr>
    </w:p>
    <w:p w:rsidR="00261842" w:rsidRPr="001E4CDF" w:rsidRDefault="00261842">
      <w:pPr>
        <w:rPr>
          <w:szCs w:val="24"/>
          <w:lang w:val="sr-Latn-RS"/>
        </w:rPr>
      </w:pPr>
    </w:p>
    <w:p w:rsidR="00261842" w:rsidRPr="00C50142" w:rsidRDefault="00261842">
      <w:pPr>
        <w:pStyle w:val="Heading2"/>
        <w:spacing w:line="260" w:lineRule="auto"/>
        <w:rPr>
          <w:rFonts w:cs="Times New Roman"/>
          <w:bCs w:val="0"/>
          <w:iCs w:val="0"/>
          <w:szCs w:val="24"/>
          <w:lang w:val="sr-Latn-RS"/>
        </w:rPr>
      </w:pPr>
      <w:bookmarkStart w:id="11" w:name="_Toc421138245"/>
      <w:r w:rsidRPr="00C50142">
        <w:rPr>
          <w:rFonts w:cs="Times New Roman"/>
          <w:bCs w:val="0"/>
          <w:iCs w:val="0"/>
          <w:szCs w:val="24"/>
          <w:lang w:val="sr-Latn-RS"/>
        </w:rPr>
        <w:lastRenderedPageBreak/>
        <w:t>Pouzdanost budžeta</w:t>
      </w:r>
      <w:bookmarkEnd w:id="11"/>
    </w:p>
    <w:p w:rsidR="00261842" w:rsidRPr="001E4CDF" w:rsidRDefault="00261842">
      <w:pPr>
        <w:spacing w:line="260" w:lineRule="auto"/>
        <w:rPr>
          <w:b/>
          <w:szCs w:val="24"/>
          <w:lang w:val="sr-Latn-RS"/>
        </w:rPr>
      </w:pPr>
      <w:r w:rsidRPr="001E4CDF">
        <w:rPr>
          <w:b/>
          <w:szCs w:val="24"/>
          <w:lang w:val="sr-Latn-RS"/>
        </w:rPr>
        <w:t>PU-1 Ukupno izvršeni rashodi u odnosu na odobreni budžet</w:t>
      </w:r>
    </w:p>
    <w:p w:rsidR="00261842" w:rsidRPr="001E4CDF" w:rsidRDefault="00261842">
      <w:pPr>
        <w:rPr>
          <w:szCs w:val="24"/>
          <w:lang w:val="sr-Latn-RS"/>
        </w:rPr>
      </w:pPr>
    </w:p>
    <w:tbl>
      <w:tblPr>
        <w:tblW w:w="8944" w:type="dxa"/>
        <w:tblInd w:w="95" w:type="dxa"/>
        <w:tblLayout w:type="fixed"/>
        <w:tblLook w:val="04A0" w:firstRow="1" w:lastRow="0" w:firstColumn="1" w:lastColumn="0" w:noHBand="0" w:noVBand="1"/>
      </w:tblPr>
      <w:tblGrid>
        <w:gridCol w:w="2990"/>
        <w:gridCol w:w="1134"/>
        <w:gridCol w:w="4820"/>
      </w:tblGrid>
      <w:tr w:rsidR="00261842" w:rsidRPr="00025057">
        <w:trPr>
          <w:trHeight w:val="300"/>
        </w:trPr>
        <w:tc>
          <w:tcPr>
            <w:tcW w:w="2990" w:type="dxa"/>
            <w:tcBorders>
              <w:top w:val="single" w:sz="4" w:space="0" w:color="auto"/>
              <w:left w:val="single" w:sz="4" w:space="0" w:color="auto"/>
              <w:bottom w:val="single" w:sz="4" w:space="0" w:color="auto"/>
              <w:right w:val="single" w:sz="4" w:space="0" w:color="auto"/>
            </w:tcBorders>
            <w:shd w:val="clear" w:color="auto" w:fill="D2EFFF"/>
            <w:vAlign w:val="center"/>
          </w:tcPr>
          <w:p w:rsidR="00261842" w:rsidRPr="00C03E15" w:rsidRDefault="00261842">
            <w:pPr>
              <w:spacing w:line="240" w:lineRule="auto"/>
              <w:rPr>
                <w:b/>
                <w:color w:val="000000"/>
                <w:sz w:val="20"/>
                <w:szCs w:val="24"/>
                <w:lang w:val="sr-Latn-RS"/>
              </w:rPr>
            </w:pPr>
          </w:p>
        </w:tc>
        <w:tc>
          <w:tcPr>
            <w:tcW w:w="5954" w:type="dxa"/>
            <w:gridSpan w:val="2"/>
            <w:tcBorders>
              <w:top w:val="single" w:sz="4" w:space="0" w:color="auto"/>
              <w:left w:val="nil"/>
              <w:bottom w:val="single" w:sz="4" w:space="0" w:color="auto"/>
              <w:right w:val="single" w:sz="4" w:space="0" w:color="auto"/>
            </w:tcBorders>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M1)</w:t>
            </w:r>
          </w:p>
        </w:tc>
      </w:tr>
      <w:tr w:rsidR="00261842" w:rsidRPr="00C03E15">
        <w:trPr>
          <w:trHeight w:val="300"/>
        </w:trPr>
        <w:tc>
          <w:tcPr>
            <w:tcW w:w="2990" w:type="dxa"/>
            <w:tcBorders>
              <w:top w:val="single" w:sz="4" w:space="0" w:color="auto"/>
              <w:left w:val="single" w:sz="4" w:space="0" w:color="auto"/>
              <w:bottom w:val="single" w:sz="4" w:space="0" w:color="auto"/>
              <w:right w:val="single" w:sz="4" w:space="0" w:color="auto"/>
            </w:tcBorders>
            <w:shd w:val="clear" w:color="auto" w:fill="D2EFFF"/>
            <w:vAlign w:val="center"/>
            <w:hideMark/>
          </w:tcPr>
          <w:p w:rsidR="00261842" w:rsidRPr="00C03E15" w:rsidRDefault="00261842">
            <w:pPr>
              <w:spacing w:line="240" w:lineRule="auto"/>
              <w:rPr>
                <w:b/>
                <w:color w:val="000000"/>
                <w:sz w:val="20"/>
                <w:szCs w:val="24"/>
                <w:lang w:val="sr-Latn-RS"/>
              </w:rPr>
            </w:pPr>
          </w:p>
        </w:tc>
        <w:tc>
          <w:tcPr>
            <w:tcW w:w="1134"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b/>
                <w:color w:val="000000"/>
                <w:sz w:val="20"/>
                <w:szCs w:val="24"/>
                <w:lang w:val="sr-Latn-RS"/>
              </w:rPr>
            </w:pPr>
            <w:r w:rsidRPr="00C03E15">
              <w:rPr>
                <w:b/>
                <w:color w:val="000000"/>
                <w:sz w:val="20"/>
                <w:szCs w:val="24"/>
                <w:lang w:val="sr-Latn-RS"/>
              </w:rPr>
              <w:t>2014</w:t>
            </w:r>
          </w:p>
        </w:tc>
        <w:tc>
          <w:tcPr>
            <w:tcW w:w="4820"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szCs w:val="24"/>
                <w:lang w:val="sr-Latn-RS"/>
              </w:rPr>
            </w:pPr>
            <w:r w:rsidRPr="00C03E15">
              <w:rPr>
                <w:b/>
                <w:color w:val="000000"/>
                <w:sz w:val="20"/>
                <w:szCs w:val="24"/>
                <w:lang w:val="sr-Latn-RS"/>
              </w:rPr>
              <w:t>Objašnjenje</w:t>
            </w:r>
          </w:p>
        </w:tc>
      </w:tr>
      <w:tr w:rsidR="00261842" w:rsidRPr="00C03E15">
        <w:trPr>
          <w:trHeight w:val="300"/>
        </w:trPr>
        <w:tc>
          <w:tcPr>
            <w:tcW w:w="2990" w:type="dxa"/>
            <w:tcBorders>
              <w:top w:val="single" w:sz="4" w:space="0" w:color="auto"/>
              <w:left w:val="single" w:sz="4" w:space="0" w:color="auto"/>
              <w:bottom w:val="single" w:sz="4" w:space="0" w:color="auto"/>
              <w:right w:val="single" w:sz="4" w:space="0" w:color="auto"/>
            </w:tcBorders>
            <w:vAlign w:val="center"/>
          </w:tcPr>
          <w:p w:rsidR="00261842" w:rsidRPr="00C03E15" w:rsidRDefault="00261842">
            <w:pPr>
              <w:spacing w:line="240" w:lineRule="auto"/>
              <w:rPr>
                <w:szCs w:val="24"/>
                <w:lang w:val="sr-Latn-RS"/>
              </w:rPr>
            </w:pPr>
            <w:r w:rsidRPr="00C03E15">
              <w:rPr>
                <w:b/>
                <w:sz w:val="20"/>
                <w:szCs w:val="24"/>
                <w:lang w:val="sr-Latn-RS"/>
              </w:rPr>
              <w:t>PU-1</w:t>
            </w:r>
            <w:r w:rsidRPr="00C03E15">
              <w:rPr>
                <w:b/>
                <w:color w:val="000000"/>
                <w:sz w:val="22"/>
                <w:szCs w:val="24"/>
                <w:lang w:val="sr-Latn-RS"/>
              </w:rPr>
              <w:t xml:space="preserve"> </w:t>
            </w:r>
            <w:r w:rsidRPr="00C03E15">
              <w:rPr>
                <w:b/>
                <w:sz w:val="20"/>
                <w:szCs w:val="24"/>
                <w:lang w:val="sr-Latn-RS"/>
              </w:rPr>
              <w:t>Ukupno izvršeni rashodi u odnosu na odobreni budžet</w:t>
            </w:r>
          </w:p>
        </w:tc>
        <w:tc>
          <w:tcPr>
            <w:tcW w:w="1134" w:type="dxa"/>
            <w:tcBorders>
              <w:top w:val="single" w:sz="4" w:space="0" w:color="auto"/>
              <w:left w:val="nil"/>
              <w:bottom w:val="single" w:sz="4" w:space="0" w:color="auto"/>
              <w:right w:val="single" w:sz="4" w:space="0" w:color="auto"/>
            </w:tcBorders>
            <w:vAlign w:val="center"/>
          </w:tcPr>
          <w:p w:rsidR="00261842" w:rsidRPr="00C03E15" w:rsidRDefault="00261842">
            <w:pPr>
              <w:spacing w:line="240" w:lineRule="auto"/>
              <w:jc w:val="center"/>
              <w:rPr>
                <w:szCs w:val="24"/>
                <w:lang w:val="sr-Latn-RS"/>
              </w:rPr>
            </w:pPr>
            <w:r w:rsidRPr="00C03E15">
              <w:rPr>
                <w:b/>
                <w:color w:val="000000"/>
                <w:sz w:val="20"/>
                <w:szCs w:val="24"/>
                <w:lang w:val="sr-Latn-RS"/>
              </w:rPr>
              <w:t>Ocena D</w:t>
            </w:r>
          </w:p>
        </w:tc>
        <w:tc>
          <w:tcPr>
            <w:tcW w:w="4820" w:type="dxa"/>
            <w:tcBorders>
              <w:top w:val="single" w:sz="4" w:space="0" w:color="auto"/>
              <w:left w:val="nil"/>
              <w:bottom w:val="single" w:sz="4" w:space="0" w:color="auto"/>
              <w:right w:val="single" w:sz="4" w:space="0" w:color="auto"/>
            </w:tcBorders>
            <w:vAlign w:val="center"/>
          </w:tcPr>
          <w:p w:rsidR="00261842" w:rsidRPr="00C03E15" w:rsidRDefault="00261842">
            <w:pPr>
              <w:spacing w:line="240" w:lineRule="auto"/>
              <w:jc w:val="center"/>
              <w:rPr>
                <w:b/>
                <w:color w:val="000000"/>
                <w:sz w:val="20"/>
                <w:szCs w:val="24"/>
                <w:lang w:val="sr-Latn-RS"/>
              </w:rPr>
            </w:pPr>
          </w:p>
        </w:tc>
      </w:tr>
      <w:tr w:rsidR="00261842" w:rsidRPr="00025057">
        <w:trPr>
          <w:trHeight w:val="300"/>
        </w:trPr>
        <w:tc>
          <w:tcPr>
            <w:tcW w:w="2990" w:type="dxa"/>
            <w:tcBorders>
              <w:top w:val="nil"/>
              <w:left w:val="single" w:sz="4" w:space="0" w:color="auto"/>
              <w:bottom w:val="single" w:sz="4" w:space="0" w:color="auto"/>
              <w:right w:val="single" w:sz="4" w:space="0" w:color="auto"/>
            </w:tcBorders>
            <w:hideMark/>
          </w:tcPr>
          <w:p w:rsidR="00261842" w:rsidRPr="00C03E15" w:rsidRDefault="00261842">
            <w:pPr>
              <w:spacing w:line="240" w:lineRule="auto"/>
              <w:rPr>
                <w:szCs w:val="24"/>
                <w:lang w:val="sr-Latn-RS"/>
              </w:rPr>
            </w:pPr>
            <w:r w:rsidRPr="00C03E15">
              <w:rPr>
                <w:color w:val="000000"/>
                <w:sz w:val="20"/>
                <w:szCs w:val="24"/>
                <w:lang w:val="sr-Latn-RS"/>
              </w:rPr>
              <w:t>(i) Razlika između ukupno budžetiranih i stvarnih primarnih rashoda</w:t>
            </w:r>
          </w:p>
        </w:tc>
        <w:tc>
          <w:tcPr>
            <w:tcW w:w="1134" w:type="dxa"/>
            <w:tcBorders>
              <w:top w:val="nil"/>
              <w:left w:val="nil"/>
              <w:bottom w:val="single" w:sz="4" w:space="0" w:color="auto"/>
              <w:right w:val="single" w:sz="4" w:space="0" w:color="auto"/>
            </w:tcBorders>
            <w:vAlign w:val="center"/>
            <w:hideMark/>
          </w:tcPr>
          <w:p w:rsidR="00261842" w:rsidRPr="00C03E15" w:rsidRDefault="00261842">
            <w:pPr>
              <w:spacing w:line="240" w:lineRule="auto"/>
              <w:jc w:val="center"/>
              <w:rPr>
                <w:szCs w:val="24"/>
                <w:lang w:val="sr-Latn-RS"/>
              </w:rPr>
            </w:pPr>
            <w:r w:rsidRPr="00C03E15">
              <w:rPr>
                <w:b/>
                <w:color w:val="000000"/>
                <w:sz w:val="20"/>
                <w:szCs w:val="24"/>
                <w:lang w:val="sr-Latn-RS"/>
              </w:rPr>
              <w:t>D</w:t>
            </w:r>
          </w:p>
        </w:tc>
        <w:tc>
          <w:tcPr>
            <w:tcW w:w="4820" w:type="dxa"/>
            <w:tcBorders>
              <w:top w:val="nil"/>
              <w:left w:val="nil"/>
              <w:bottom w:val="single" w:sz="4" w:space="0" w:color="auto"/>
              <w:right w:val="single" w:sz="4" w:space="0" w:color="auto"/>
            </w:tcBorders>
            <w:hideMark/>
          </w:tcPr>
          <w:p w:rsidR="00261842" w:rsidRPr="00C03E15" w:rsidRDefault="00261842">
            <w:pPr>
              <w:spacing w:line="240" w:lineRule="auto"/>
              <w:rPr>
                <w:szCs w:val="24"/>
                <w:lang w:val="sr-Latn-RS"/>
              </w:rPr>
            </w:pPr>
            <w:r w:rsidRPr="00C03E15">
              <w:rPr>
                <w:color w:val="000000"/>
                <w:sz w:val="20"/>
                <w:szCs w:val="24"/>
                <w:lang w:val="sr-Latn-RS"/>
              </w:rPr>
              <w:t>U dve ili sve tri poslednje godine ostvareni rashodi su odstupali od budžetiranih za 15% ili više</w:t>
            </w:r>
          </w:p>
        </w:tc>
      </w:tr>
    </w:tbl>
    <w:p w:rsidR="00261842" w:rsidRPr="001E4CDF" w:rsidRDefault="00261842">
      <w:pPr>
        <w:pStyle w:val="ParagraphNumbering"/>
        <w:numPr>
          <w:ilvl w:val="0"/>
          <w:numId w:val="0"/>
        </w:numPr>
        <w:spacing w:after="0" w:line="240" w:lineRule="auto"/>
        <w:rPr>
          <w:sz w:val="20"/>
          <w:lang w:val="sr-Latn-RS"/>
        </w:rPr>
      </w:pPr>
    </w:p>
    <w:p w:rsidR="00261842" w:rsidRPr="001E4CDF" w:rsidRDefault="00261842" w:rsidP="008656D5">
      <w:pPr>
        <w:pStyle w:val="ParagraphNumbering"/>
        <w:numPr>
          <w:ilvl w:val="0"/>
          <w:numId w:val="0"/>
        </w:numPr>
        <w:spacing w:line="260" w:lineRule="auto"/>
        <w:jc w:val="both"/>
        <w:rPr>
          <w:color w:val="000000"/>
          <w:lang w:val="sr-Latn-RS"/>
        </w:rPr>
      </w:pPr>
      <w:r w:rsidRPr="001E4CDF">
        <w:rPr>
          <w:color w:val="000000"/>
          <w:sz w:val="22"/>
          <w:lang w:val="sr-Latn-RS"/>
        </w:rPr>
        <w:t>Ovaj indikator ocenjuje pouzdanost budžeta izračunavanjem stepena do kojeg izvršeni budžetski rashodi odstupaju od prvobitnog budžeta prema raspoloživim podacima za poslednje tri godine</w:t>
      </w:r>
      <w:r w:rsidRPr="001E4CDF">
        <w:rPr>
          <w:lang w:val="sr-Latn-RS"/>
        </w:rPr>
        <w:t xml:space="preserve">. Ako rashodi stalno odstupaju od prvobitnog budžeta, to ukazuje na probleme sa kvalitetom planiranja budžeta i / ili na izazove u izvršenju budžeta. </w:t>
      </w:r>
      <w:r w:rsidRPr="001E4CDF">
        <w:rPr>
          <w:color w:val="000000"/>
          <w:sz w:val="22"/>
          <w:lang w:val="sr-Latn-RS"/>
        </w:rPr>
        <w:t>Procena ovog indikatora je zasnovana na informacijama dostupnim za budžetske godine od 2011. do 2013</w:t>
      </w:r>
      <w:r w:rsidRPr="001E4CDF">
        <w:rPr>
          <w:color w:val="000000"/>
          <w:lang w:val="sr-Latn-RS"/>
        </w:rPr>
        <w:t>.</w:t>
      </w:r>
    </w:p>
    <w:p w:rsidR="00261842" w:rsidRPr="001E4CDF" w:rsidRDefault="00261842">
      <w:pPr>
        <w:pStyle w:val="ParagraphNumbering"/>
        <w:numPr>
          <w:ilvl w:val="0"/>
          <w:numId w:val="0"/>
        </w:numPr>
        <w:spacing w:after="0" w:line="240" w:lineRule="auto"/>
        <w:rPr>
          <w:b/>
          <w:lang w:val="sr-Latn-RS"/>
        </w:rPr>
      </w:pPr>
      <w:r w:rsidRPr="001E4CDF">
        <w:rPr>
          <w:b/>
          <w:lang w:val="sr-Latn-RS"/>
        </w:rPr>
        <w:t>(i) Razlika između primarne potrošnje (rashoda) i prvobitno planiranih primarnih rashoda (isključujući servisiranje dugova i rashode eksterno finansiranih projekata)</w:t>
      </w:r>
    </w:p>
    <w:p w:rsidR="00261842" w:rsidRPr="001E4CDF" w:rsidRDefault="00261842">
      <w:pPr>
        <w:pStyle w:val="ParagraphNumbering"/>
        <w:numPr>
          <w:ilvl w:val="0"/>
          <w:numId w:val="0"/>
        </w:numPr>
        <w:spacing w:after="0" w:line="240" w:lineRule="auto"/>
        <w:rPr>
          <w:sz w:val="20"/>
          <w:lang w:val="sr-Latn-RS"/>
        </w:rPr>
      </w:pPr>
    </w:p>
    <w:tbl>
      <w:tblPr>
        <w:tblW w:w="5620" w:type="dxa"/>
        <w:tblInd w:w="-5" w:type="dxa"/>
        <w:tblLayout w:type="fixed"/>
        <w:tblLook w:val="04A0" w:firstRow="1" w:lastRow="0" w:firstColumn="1" w:lastColumn="0" w:noHBand="0" w:noVBand="1"/>
      </w:tblPr>
      <w:tblGrid>
        <w:gridCol w:w="1320"/>
        <w:gridCol w:w="4300"/>
      </w:tblGrid>
      <w:tr w:rsidR="00261842" w:rsidRPr="00C03E15">
        <w:trPr>
          <w:trHeight w:val="255"/>
        </w:trPr>
        <w:tc>
          <w:tcPr>
            <w:tcW w:w="1320" w:type="dxa"/>
            <w:tcBorders>
              <w:top w:val="single" w:sz="4" w:space="0" w:color="auto"/>
              <w:left w:val="single" w:sz="4" w:space="0" w:color="auto"/>
              <w:bottom w:val="nil"/>
              <w:right w:val="single" w:sz="4" w:space="0" w:color="auto"/>
            </w:tcBorders>
            <w:noWrap/>
            <w:vAlign w:val="center"/>
            <w:hideMark/>
          </w:tcPr>
          <w:p w:rsidR="00261842" w:rsidRPr="00C03E15" w:rsidRDefault="00261842">
            <w:pPr>
              <w:spacing w:line="240" w:lineRule="auto"/>
              <w:rPr>
                <w:szCs w:val="24"/>
                <w:lang w:val="sr-Latn-RS"/>
              </w:rPr>
            </w:pPr>
            <w:r w:rsidRPr="00C03E15">
              <w:rPr>
                <w:sz w:val="20"/>
                <w:szCs w:val="24"/>
                <w:lang w:val="sr-Latn-RS"/>
              </w:rPr>
              <w:t> </w:t>
            </w:r>
          </w:p>
        </w:tc>
        <w:tc>
          <w:tcPr>
            <w:tcW w:w="4300" w:type="dxa"/>
            <w:tcBorders>
              <w:top w:val="single" w:sz="4" w:space="0" w:color="auto"/>
              <w:left w:val="nil"/>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C03E15">
              <w:rPr>
                <w:sz w:val="20"/>
                <w:szCs w:val="24"/>
                <w:lang w:val="sr-Latn-RS"/>
              </w:rPr>
              <w:t>Za PU-1</w:t>
            </w:r>
          </w:p>
        </w:tc>
      </w:tr>
      <w:tr w:rsidR="00261842" w:rsidRPr="00C03E15">
        <w:trPr>
          <w:trHeight w:val="510"/>
        </w:trPr>
        <w:tc>
          <w:tcPr>
            <w:tcW w:w="1320" w:type="dxa"/>
            <w:tcBorders>
              <w:top w:val="nil"/>
              <w:left w:val="single" w:sz="4" w:space="0" w:color="auto"/>
              <w:bottom w:val="single" w:sz="4" w:space="0" w:color="auto"/>
              <w:right w:val="single" w:sz="4" w:space="0" w:color="auto"/>
            </w:tcBorders>
            <w:noWrap/>
            <w:vAlign w:val="center"/>
            <w:hideMark/>
          </w:tcPr>
          <w:p w:rsidR="00261842" w:rsidRPr="00C03E15" w:rsidRDefault="00261842">
            <w:pPr>
              <w:spacing w:line="240" w:lineRule="auto"/>
              <w:jc w:val="center"/>
              <w:rPr>
                <w:szCs w:val="24"/>
                <w:lang w:val="sr-Latn-RS"/>
              </w:rPr>
            </w:pPr>
            <w:r w:rsidRPr="00C03E15">
              <w:rPr>
                <w:sz w:val="20"/>
                <w:szCs w:val="24"/>
                <w:lang w:val="sr-Latn-RS"/>
              </w:rPr>
              <w:t>Godina</w:t>
            </w:r>
          </w:p>
        </w:tc>
        <w:tc>
          <w:tcPr>
            <w:tcW w:w="4300" w:type="dxa"/>
            <w:tcBorders>
              <w:top w:val="nil"/>
              <w:left w:val="nil"/>
              <w:bottom w:val="single" w:sz="4" w:space="0" w:color="auto"/>
              <w:right w:val="single" w:sz="4" w:space="0" w:color="auto"/>
            </w:tcBorders>
            <w:noWrap/>
            <w:vAlign w:val="center"/>
            <w:hideMark/>
          </w:tcPr>
          <w:p w:rsidR="00261842" w:rsidRPr="00C03E15" w:rsidRDefault="00261842">
            <w:pPr>
              <w:spacing w:line="240" w:lineRule="auto"/>
              <w:jc w:val="center"/>
              <w:rPr>
                <w:szCs w:val="24"/>
                <w:lang w:val="sr-Latn-RS"/>
              </w:rPr>
            </w:pPr>
            <w:r w:rsidRPr="00C03E15">
              <w:rPr>
                <w:szCs w:val="24"/>
                <w:lang w:val="sr-Latn-RS"/>
              </w:rPr>
              <w:t>Ukupno odstupanje rashoda</w:t>
            </w:r>
          </w:p>
        </w:tc>
      </w:tr>
      <w:tr w:rsidR="00261842" w:rsidRPr="00C03E15">
        <w:trPr>
          <w:trHeight w:val="255"/>
        </w:trPr>
        <w:tc>
          <w:tcPr>
            <w:tcW w:w="1320"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jc w:val="center"/>
              <w:rPr>
                <w:sz w:val="20"/>
                <w:szCs w:val="24"/>
                <w:lang w:val="sr-Latn-RS"/>
              </w:rPr>
            </w:pPr>
            <w:r w:rsidRPr="00C03E15">
              <w:rPr>
                <w:sz w:val="20"/>
                <w:szCs w:val="24"/>
                <w:lang w:val="sr-Latn-RS"/>
              </w:rPr>
              <w:t>2011</w:t>
            </w:r>
          </w:p>
        </w:tc>
        <w:tc>
          <w:tcPr>
            <w:tcW w:w="4300" w:type="dxa"/>
            <w:tcBorders>
              <w:top w:val="single" w:sz="4" w:space="0" w:color="auto"/>
              <w:left w:val="nil"/>
              <w:bottom w:val="nil"/>
              <w:right w:val="single" w:sz="4" w:space="0" w:color="auto"/>
            </w:tcBorders>
            <w:noWrap/>
            <w:vAlign w:val="center"/>
            <w:hideMark/>
          </w:tcPr>
          <w:p w:rsidR="00261842" w:rsidRPr="00C03E15" w:rsidRDefault="00261842">
            <w:pPr>
              <w:spacing w:line="240" w:lineRule="auto"/>
              <w:jc w:val="center"/>
              <w:rPr>
                <w:sz w:val="20"/>
                <w:szCs w:val="24"/>
                <w:lang w:val="sr-Latn-RS"/>
              </w:rPr>
            </w:pPr>
            <w:r w:rsidRPr="00C03E15">
              <w:rPr>
                <w:sz w:val="20"/>
                <w:szCs w:val="24"/>
                <w:lang w:val="sr-Latn-RS"/>
              </w:rPr>
              <w:t>-19.3%</w:t>
            </w:r>
          </w:p>
        </w:tc>
      </w:tr>
      <w:tr w:rsidR="00261842" w:rsidRPr="00C03E15">
        <w:trPr>
          <w:trHeight w:val="255"/>
        </w:trPr>
        <w:tc>
          <w:tcPr>
            <w:tcW w:w="1320"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center"/>
              <w:rPr>
                <w:sz w:val="20"/>
                <w:szCs w:val="24"/>
                <w:lang w:val="sr-Latn-RS"/>
              </w:rPr>
            </w:pPr>
            <w:r w:rsidRPr="00C03E15">
              <w:rPr>
                <w:sz w:val="20"/>
                <w:szCs w:val="24"/>
                <w:lang w:val="sr-Latn-RS"/>
              </w:rPr>
              <w:t>2012</w:t>
            </w:r>
          </w:p>
        </w:tc>
        <w:tc>
          <w:tcPr>
            <w:tcW w:w="4300" w:type="dxa"/>
            <w:tcBorders>
              <w:top w:val="nil"/>
              <w:left w:val="nil"/>
              <w:bottom w:val="nil"/>
              <w:right w:val="single" w:sz="4" w:space="0" w:color="auto"/>
            </w:tcBorders>
            <w:noWrap/>
            <w:vAlign w:val="center"/>
            <w:hideMark/>
          </w:tcPr>
          <w:p w:rsidR="00261842" w:rsidRPr="00C03E15" w:rsidRDefault="00261842">
            <w:pPr>
              <w:spacing w:line="240" w:lineRule="auto"/>
              <w:jc w:val="center"/>
              <w:rPr>
                <w:sz w:val="20"/>
                <w:szCs w:val="24"/>
                <w:lang w:val="sr-Latn-RS"/>
              </w:rPr>
            </w:pPr>
            <w:r w:rsidRPr="00C03E15">
              <w:rPr>
                <w:sz w:val="20"/>
                <w:szCs w:val="24"/>
                <w:lang w:val="sr-Latn-RS"/>
              </w:rPr>
              <w:t>-16.9%</w:t>
            </w:r>
          </w:p>
        </w:tc>
      </w:tr>
      <w:tr w:rsidR="00261842" w:rsidRPr="00C03E15">
        <w:trPr>
          <w:trHeight w:val="255"/>
        </w:trPr>
        <w:tc>
          <w:tcPr>
            <w:tcW w:w="1320" w:type="dxa"/>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r w:rsidRPr="00C03E15">
              <w:rPr>
                <w:sz w:val="20"/>
                <w:szCs w:val="24"/>
                <w:lang w:val="sr-Latn-RS"/>
              </w:rPr>
              <w:t>2013</w:t>
            </w:r>
          </w:p>
        </w:tc>
        <w:tc>
          <w:tcPr>
            <w:tcW w:w="4300" w:type="dxa"/>
            <w:tcBorders>
              <w:top w:val="nil"/>
              <w:left w:val="nil"/>
              <w:bottom w:val="single" w:sz="4" w:space="0" w:color="auto"/>
              <w:right w:val="single" w:sz="4" w:space="0" w:color="auto"/>
            </w:tcBorders>
            <w:noWrap/>
            <w:vAlign w:val="center"/>
            <w:hideMark/>
          </w:tcPr>
          <w:p w:rsidR="00261842" w:rsidRPr="00C03E15" w:rsidRDefault="00261842">
            <w:pPr>
              <w:spacing w:line="240" w:lineRule="auto"/>
              <w:jc w:val="center"/>
              <w:rPr>
                <w:sz w:val="20"/>
                <w:szCs w:val="24"/>
                <w:lang w:val="sr-Latn-RS"/>
              </w:rPr>
            </w:pPr>
            <w:r w:rsidRPr="00C03E15">
              <w:rPr>
                <w:sz w:val="20"/>
                <w:szCs w:val="24"/>
                <w:lang w:val="sr-Latn-RS"/>
              </w:rPr>
              <w:t>-28.1%</w:t>
            </w:r>
          </w:p>
        </w:tc>
      </w:tr>
    </w:tbl>
    <w:p w:rsidR="00261842" w:rsidRPr="001E4CDF" w:rsidRDefault="00261842">
      <w:pPr>
        <w:pStyle w:val="ParagraphNumbering"/>
        <w:numPr>
          <w:ilvl w:val="0"/>
          <w:numId w:val="0"/>
        </w:numPr>
        <w:spacing w:line="260" w:lineRule="auto"/>
        <w:rPr>
          <w:lang w:val="sr-Latn-RS"/>
        </w:rPr>
      </w:pPr>
      <w:r w:rsidRPr="001E4CDF">
        <w:rPr>
          <w:lang w:val="sr-Latn-RS"/>
        </w:rPr>
        <w:t>Videti aneks za izvorne podatke</w:t>
      </w:r>
    </w:p>
    <w:p w:rsidR="00261842" w:rsidRPr="001E4CDF" w:rsidRDefault="00261842">
      <w:pPr>
        <w:spacing w:line="260" w:lineRule="auto"/>
        <w:rPr>
          <w:szCs w:val="24"/>
          <w:lang w:val="sr-Latn-RS"/>
        </w:rPr>
      </w:pPr>
      <w:r w:rsidRPr="001E4CDF">
        <w:rPr>
          <w:szCs w:val="24"/>
          <w:lang w:val="sr-Latn-RS"/>
        </w:rPr>
        <w:t xml:space="preserve">Opštinski budžet se u najvećoj meri finansira transferima sa centralnog nivoa (HGL-1) i iz sopstvenih izvora prihoda (PU-3).  Smanjenje razlike između stvarnog i planiranog budžeta tokom vremena odražava značajna unapređenja u predviđanju  prihoda u okviru oba izvora prihoda.  </w:t>
      </w:r>
    </w:p>
    <w:p w:rsidR="00261842" w:rsidRPr="001E4CDF" w:rsidRDefault="00261842">
      <w:pPr>
        <w:spacing w:line="260" w:lineRule="auto"/>
        <w:rPr>
          <w:szCs w:val="24"/>
          <w:lang w:val="sr-Latn-RS"/>
        </w:rPr>
      </w:pPr>
      <w:r w:rsidRPr="001E4CDF">
        <w:rPr>
          <w:szCs w:val="24"/>
          <w:lang w:val="sr-Latn-RS"/>
        </w:rPr>
        <w:t>Ocena D</w:t>
      </w:r>
    </w:p>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b/>
          <w:szCs w:val="24"/>
          <w:lang w:val="sr-Latn-RS"/>
        </w:rPr>
        <w:t>PU-2 Struktura izvršenih rashoda u odnosu na odobreni budžet</w:t>
      </w:r>
    </w:p>
    <w:p w:rsidR="00261842" w:rsidRPr="001E4CDF" w:rsidRDefault="00261842">
      <w:pPr>
        <w:rPr>
          <w:szCs w:val="24"/>
          <w:lang w:val="sr-Latn-RS"/>
        </w:rPr>
      </w:pPr>
    </w:p>
    <w:tbl>
      <w:tblPr>
        <w:tblW w:w="89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392"/>
        <w:gridCol w:w="4609"/>
      </w:tblGrid>
      <w:tr w:rsidR="00261842" w:rsidRPr="00025057">
        <w:trPr>
          <w:trHeight w:val="300"/>
        </w:trPr>
        <w:tc>
          <w:tcPr>
            <w:tcW w:w="2943" w:type="dxa"/>
            <w:shd w:val="clear" w:color="auto" w:fill="D2EFFF"/>
            <w:vAlign w:val="center"/>
          </w:tcPr>
          <w:p w:rsidR="00261842" w:rsidRPr="00C03E15" w:rsidRDefault="00261842">
            <w:pPr>
              <w:spacing w:line="240" w:lineRule="auto"/>
              <w:jc w:val="center"/>
              <w:rPr>
                <w:b/>
                <w:color w:val="000000"/>
                <w:sz w:val="20"/>
                <w:szCs w:val="24"/>
                <w:lang w:val="sr-Latn-RS"/>
              </w:rPr>
            </w:pPr>
          </w:p>
        </w:tc>
        <w:tc>
          <w:tcPr>
            <w:tcW w:w="6001" w:type="dxa"/>
            <w:gridSpan w:val="2"/>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M1)</w:t>
            </w:r>
          </w:p>
        </w:tc>
      </w:tr>
      <w:tr w:rsidR="00261842" w:rsidRPr="00C03E15">
        <w:trPr>
          <w:trHeight w:val="300"/>
        </w:trPr>
        <w:tc>
          <w:tcPr>
            <w:tcW w:w="2943" w:type="dxa"/>
            <w:shd w:val="clear" w:color="auto" w:fill="D2EFFF"/>
            <w:vAlign w:val="center"/>
            <w:hideMark/>
          </w:tcPr>
          <w:p w:rsidR="00261842" w:rsidRPr="00C03E15" w:rsidRDefault="00261842">
            <w:pPr>
              <w:spacing w:line="240" w:lineRule="auto"/>
              <w:rPr>
                <w:b/>
                <w:color w:val="000000"/>
                <w:sz w:val="20"/>
                <w:szCs w:val="24"/>
                <w:lang w:val="sr-Latn-RS"/>
              </w:rPr>
            </w:pPr>
          </w:p>
        </w:tc>
        <w:tc>
          <w:tcPr>
            <w:tcW w:w="1392" w:type="dxa"/>
            <w:shd w:val="clear" w:color="auto" w:fill="D2EFFF"/>
            <w:vAlign w:val="center"/>
            <w:hideMark/>
          </w:tcPr>
          <w:p w:rsidR="00261842" w:rsidRPr="00C03E15" w:rsidRDefault="00261842">
            <w:pPr>
              <w:spacing w:line="240" w:lineRule="auto"/>
              <w:jc w:val="center"/>
              <w:rPr>
                <w:b/>
                <w:color w:val="000000"/>
                <w:sz w:val="20"/>
                <w:szCs w:val="24"/>
                <w:lang w:val="sr-Latn-RS"/>
              </w:rPr>
            </w:pPr>
            <w:r w:rsidRPr="00C03E15">
              <w:rPr>
                <w:b/>
                <w:color w:val="000000"/>
                <w:sz w:val="20"/>
                <w:szCs w:val="24"/>
                <w:lang w:val="sr-Latn-RS"/>
              </w:rPr>
              <w:t>2014</w:t>
            </w:r>
          </w:p>
        </w:tc>
        <w:tc>
          <w:tcPr>
            <w:tcW w:w="4609" w:type="dxa"/>
            <w:shd w:val="clear" w:color="auto" w:fill="D2EFFF"/>
            <w:vAlign w:val="center"/>
            <w:hideMark/>
          </w:tcPr>
          <w:p w:rsidR="00261842" w:rsidRPr="00C03E15" w:rsidRDefault="00261842">
            <w:pPr>
              <w:spacing w:line="240" w:lineRule="auto"/>
              <w:jc w:val="center"/>
              <w:rPr>
                <w:szCs w:val="24"/>
                <w:lang w:val="sr-Latn-RS"/>
              </w:rPr>
            </w:pPr>
            <w:r w:rsidRPr="00C03E15">
              <w:rPr>
                <w:b/>
                <w:color w:val="000000"/>
                <w:sz w:val="20"/>
                <w:szCs w:val="24"/>
                <w:lang w:val="sr-Latn-RS"/>
              </w:rPr>
              <w:t>Objašnjenje</w:t>
            </w:r>
          </w:p>
        </w:tc>
      </w:tr>
      <w:tr w:rsidR="00261842" w:rsidRPr="00C03E15">
        <w:trPr>
          <w:trHeight w:val="300"/>
        </w:trPr>
        <w:tc>
          <w:tcPr>
            <w:tcW w:w="2943" w:type="dxa"/>
            <w:vAlign w:val="center"/>
          </w:tcPr>
          <w:p w:rsidR="00261842" w:rsidRPr="00C03E15" w:rsidRDefault="00261842">
            <w:pPr>
              <w:spacing w:line="240" w:lineRule="auto"/>
              <w:rPr>
                <w:szCs w:val="24"/>
                <w:lang w:val="sr-Latn-RS"/>
              </w:rPr>
            </w:pPr>
            <w:r w:rsidRPr="00C03E15">
              <w:rPr>
                <w:b/>
                <w:sz w:val="20"/>
                <w:szCs w:val="24"/>
                <w:lang w:val="sr-Latn-RS"/>
              </w:rPr>
              <w:t>PU-2 Struktura izvršenih rashoda u odnosu na odobreni budžet</w:t>
            </w:r>
          </w:p>
        </w:tc>
        <w:tc>
          <w:tcPr>
            <w:tcW w:w="1392" w:type="dxa"/>
            <w:vAlign w:val="center"/>
          </w:tcPr>
          <w:p w:rsidR="00261842" w:rsidRPr="00C03E15" w:rsidRDefault="00261842">
            <w:pPr>
              <w:spacing w:line="240" w:lineRule="auto"/>
              <w:jc w:val="center"/>
              <w:rPr>
                <w:szCs w:val="24"/>
                <w:lang w:val="sr-Latn-RS"/>
              </w:rPr>
            </w:pPr>
            <w:r w:rsidRPr="00C03E15">
              <w:rPr>
                <w:b/>
                <w:color w:val="000000"/>
                <w:sz w:val="20"/>
                <w:szCs w:val="24"/>
                <w:lang w:val="sr-Latn-RS"/>
              </w:rPr>
              <w:t>Ocena D+</w:t>
            </w:r>
          </w:p>
        </w:tc>
        <w:tc>
          <w:tcPr>
            <w:tcW w:w="4609" w:type="dxa"/>
            <w:vAlign w:val="center"/>
          </w:tcPr>
          <w:p w:rsidR="00261842" w:rsidRPr="00C03E15" w:rsidRDefault="00261842">
            <w:pPr>
              <w:spacing w:line="240" w:lineRule="auto"/>
              <w:jc w:val="center"/>
              <w:rPr>
                <w:b/>
                <w:color w:val="000000"/>
                <w:sz w:val="20"/>
                <w:szCs w:val="24"/>
                <w:lang w:val="sr-Latn-RS"/>
              </w:rPr>
            </w:pPr>
          </w:p>
        </w:tc>
      </w:tr>
      <w:tr w:rsidR="00261842" w:rsidRPr="00025057">
        <w:trPr>
          <w:trHeight w:val="300"/>
        </w:trPr>
        <w:tc>
          <w:tcPr>
            <w:tcW w:w="2943" w:type="dxa"/>
            <w:hideMark/>
          </w:tcPr>
          <w:p w:rsidR="00261842" w:rsidRPr="00C03E15" w:rsidRDefault="00261842">
            <w:pPr>
              <w:spacing w:line="240" w:lineRule="auto"/>
              <w:rPr>
                <w:szCs w:val="24"/>
                <w:lang w:val="sr-Latn-RS"/>
              </w:rPr>
            </w:pPr>
            <w:r w:rsidRPr="00C03E15">
              <w:rPr>
                <w:color w:val="000000"/>
                <w:sz w:val="20"/>
                <w:szCs w:val="24"/>
                <w:lang w:val="sr-Latn-RS"/>
              </w:rPr>
              <w:t xml:space="preserve">(i) Veličina odstupanja u strukturi rashoda ne računajući budžetsku </w:t>
            </w:r>
            <w:r w:rsidRPr="00C03E15">
              <w:rPr>
                <w:color w:val="000000"/>
                <w:sz w:val="20"/>
                <w:szCs w:val="24"/>
                <w:lang w:val="sr-Latn-RS"/>
              </w:rPr>
              <w:lastRenderedPageBreak/>
              <w:t>rezervu</w:t>
            </w:r>
          </w:p>
        </w:tc>
        <w:tc>
          <w:tcPr>
            <w:tcW w:w="1392" w:type="dxa"/>
            <w:vAlign w:val="center"/>
            <w:hideMark/>
          </w:tcPr>
          <w:p w:rsidR="00261842" w:rsidRPr="00C03E15" w:rsidRDefault="00261842">
            <w:pPr>
              <w:spacing w:line="240" w:lineRule="auto"/>
              <w:jc w:val="center"/>
              <w:rPr>
                <w:szCs w:val="24"/>
                <w:lang w:val="sr-Latn-RS"/>
              </w:rPr>
            </w:pPr>
            <w:r w:rsidRPr="00C03E15">
              <w:rPr>
                <w:color w:val="000000"/>
                <w:sz w:val="20"/>
                <w:szCs w:val="24"/>
                <w:lang w:val="sr-Latn-RS"/>
              </w:rPr>
              <w:lastRenderedPageBreak/>
              <w:t>D</w:t>
            </w:r>
          </w:p>
        </w:tc>
        <w:tc>
          <w:tcPr>
            <w:tcW w:w="4609" w:type="dxa"/>
            <w:hideMark/>
          </w:tcPr>
          <w:p w:rsidR="00261842" w:rsidRPr="00C03E15" w:rsidRDefault="00261842">
            <w:pPr>
              <w:spacing w:line="240" w:lineRule="auto"/>
              <w:rPr>
                <w:szCs w:val="24"/>
                <w:lang w:val="sr-Latn-RS"/>
              </w:rPr>
            </w:pPr>
            <w:r w:rsidRPr="00C03E15">
              <w:rPr>
                <w:color w:val="000000"/>
                <w:sz w:val="20"/>
                <w:szCs w:val="24"/>
                <w:lang w:val="sr-Latn-RS"/>
              </w:rPr>
              <w:t xml:space="preserve">U barem dve od poslednje tri godine, odstupanje u strukturi rashoda u odnosu na planirane je premašilo </w:t>
            </w:r>
            <w:r w:rsidRPr="00C03E15">
              <w:rPr>
                <w:color w:val="000000"/>
                <w:sz w:val="20"/>
                <w:szCs w:val="24"/>
                <w:lang w:val="sr-Latn-RS"/>
              </w:rPr>
              <w:lastRenderedPageBreak/>
              <w:t xml:space="preserve">15 %.  </w:t>
            </w:r>
          </w:p>
        </w:tc>
      </w:tr>
      <w:tr w:rsidR="00261842" w:rsidRPr="00025057">
        <w:trPr>
          <w:trHeight w:val="300"/>
        </w:trPr>
        <w:tc>
          <w:tcPr>
            <w:tcW w:w="2943" w:type="dxa"/>
          </w:tcPr>
          <w:p w:rsidR="00261842" w:rsidRPr="00C03E15" w:rsidRDefault="00261842">
            <w:pPr>
              <w:spacing w:line="240" w:lineRule="auto"/>
              <w:rPr>
                <w:szCs w:val="24"/>
                <w:lang w:val="sr-Latn-RS"/>
              </w:rPr>
            </w:pPr>
            <w:r w:rsidRPr="00C03E15">
              <w:rPr>
                <w:color w:val="000000"/>
                <w:sz w:val="20"/>
                <w:szCs w:val="24"/>
                <w:lang w:val="sr-Latn-RS"/>
              </w:rPr>
              <w:lastRenderedPageBreak/>
              <w:t>(</w:t>
            </w:r>
            <w:proofErr w:type="spellStart"/>
            <w:r w:rsidRPr="00C03E15">
              <w:rPr>
                <w:color w:val="000000"/>
                <w:sz w:val="20"/>
                <w:szCs w:val="24"/>
                <w:lang w:val="sr-Latn-RS"/>
              </w:rPr>
              <w:t>ii</w:t>
            </w:r>
            <w:proofErr w:type="spellEnd"/>
            <w:r w:rsidRPr="00C03E15">
              <w:rPr>
                <w:color w:val="000000"/>
                <w:sz w:val="20"/>
                <w:szCs w:val="24"/>
                <w:lang w:val="sr-Latn-RS"/>
              </w:rPr>
              <w:t>) Prosečan nivo rashoda izvršenih iz budžetske rezerve u prethodne tri godine</w:t>
            </w:r>
          </w:p>
        </w:tc>
        <w:tc>
          <w:tcPr>
            <w:tcW w:w="1392" w:type="dxa"/>
            <w:vAlign w:val="center"/>
          </w:tcPr>
          <w:p w:rsidR="00261842" w:rsidRPr="00C03E15" w:rsidRDefault="00261842">
            <w:pPr>
              <w:spacing w:line="240" w:lineRule="auto"/>
              <w:jc w:val="center"/>
              <w:rPr>
                <w:szCs w:val="24"/>
                <w:lang w:val="sr-Latn-RS"/>
              </w:rPr>
            </w:pPr>
            <w:r w:rsidRPr="00C03E15">
              <w:rPr>
                <w:b/>
                <w:color w:val="000000"/>
                <w:sz w:val="20"/>
                <w:szCs w:val="24"/>
                <w:lang w:val="sr-Latn-RS"/>
              </w:rPr>
              <w:t>A</w:t>
            </w:r>
          </w:p>
        </w:tc>
        <w:tc>
          <w:tcPr>
            <w:tcW w:w="4609" w:type="dxa"/>
          </w:tcPr>
          <w:p w:rsidR="00261842" w:rsidRPr="00C03E15" w:rsidRDefault="00261842">
            <w:pPr>
              <w:spacing w:line="240" w:lineRule="auto"/>
              <w:rPr>
                <w:szCs w:val="24"/>
                <w:lang w:val="sr-Latn-RS"/>
              </w:rPr>
            </w:pPr>
            <w:r w:rsidRPr="00C03E15">
              <w:rPr>
                <w:color w:val="000000"/>
                <w:sz w:val="20"/>
                <w:szCs w:val="24"/>
                <w:lang w:val="sr-Latn-RS"/>
              </w:rPr>
              <w:t xml:space="preserve">Stvarni rashodi izvršeni iz budžetske rezerve su u proseku manji od 3% prvobitnog budžeta.  </w:t>
            </w:r>
          </w:p>
        </w:tc>
      </w:tr>
    </w:tbl>
    <w:p w:rsidR="00261842" w:rsidRPr="001E4CDF" w:rsidRDefault="00261842">
      <w:pPr>
        <w:pStyle w:val="ParagraphNumbering"/>
        <w:numPr>
          <w:ilvl w:val="0"/>
          <w:numId w:val="0"/>
        </w:numPr>
        <w:rPr>
          <w:lang w:val="sr-Latn-RS"/>
        </w:rPr>
      </w:pPr>
    </w:p>
    <w:p w:rsidR="00261842" w:rsidRPr="001E4CDF" w:rsidRDefault="00261842">
      <w:pPr>
        <w:pStyle w:val="ParagraphNumbering"/>
        <w:numPr>
          <w:ilvl w:val="0"/>
          <w:numId w:val="0"/>
        </w:numPr>
        <w:spacing w:line="260" w:lineRule="auto"/>
        <w:rPr>
          <w:color w:val="000000"/>
          <w:lang w:val="sr-Latn-RS"/>
        </w:rPr>
      </w:pPr>
      <w:r w:rsidRPr="001E4CDF">
        <w:rPr>
          <w:color w:val="000000"/>
          <w:sz w:val="22"/>
          <w:lang w:val="sr-Latn-RS"/>
        </w:rPr>
        <w:t>Ovaj indikator ocenjuje pouzdanost budžeta izračunavanjem stepena do kojeg stvarni ukupni rashod odstupa od prvobitnog usvojenog budžeta za poslednje tri godine, na osnovu raspoloživih podataka</w:t>
      </w:r>
      <w:r w:rsidRPr="001E4CDF">
        <w:rPr>
          <w:lang w:val="sr-Latn-RS"/>
        </w:rPr>
        <w:t xml:space="preserve">.  </w:t>
      </w:r>
      <w:r w:rsidRPr="001E4CDF">
        <w:rPr>
          <w:color w:val="000000"/>
          <w:sz w:val="22"/>
          <w:lang w:val="sr-Latn-RS"/>
        </w:rPr>
        <w:t>Procena ovog indikatora je zasnovana na informacijama dostupnim za budžetske godine od 2011. do 2013</w:t>
      </w:r>
      <w:r w:rsidRPr="001E4CDF">
        <w:rPr>
          <w:color w:val="000000"/>
          <w:lang w:val="sr-Latn-RS"/>
        </w:rPr>
        <w:t>.</w:t>
      </w:r>
    </w:p>
    <w:p w:rsidR="00261842" w:rsidRPr="001E4CDF" w:rsidRDefault="00261842">
      <w:pPr>
        <w:pStyle w:val="ParagraphNumbering"/>
        <w:numPr>
          <w:ilvl w:val="0"/>
          <w:numId w:val="0"/>
        </w:numPr>
        <w:spacing w:line="260" w:lineRule="auto"/>
        <w:rPr>
          <w:b/>
          <w:color w:val="000000"/>
          <w:lang w:val="sr-Latn-RS"/>
        </w:rPr>
      </w:pPr>
      <w:r w:rsidRPr="001E4CDF">
        <w:rPr>
          <w:b/>
          <w:color w:val="000000"/>
          <w:lang w:val="sr-Latn-RS"/>
        </w:rPr>
        <w:t>(i) Veličina odstupanja u strukturi rashoda tokom poslednje tri godine, ne računajući budžetsku rezervu</w:t>
      </w:r>
    </w:p>
    <w:p w:rsidR="00261842" w:rsidRPr="008656D5" w:rsidRDefault="00261842" w:rsidP="008656D5">
      <w:pPr>
        <w:pStyle w:val="ParagraphNumbering"/>
        <w:numPr>
          <w:ilvl w:val="0"/>
          <w:numId w:val="0"/>
        </w:numPr>
        <w:spacing w:line="260" w:lineRule="auto"/>
        <w:jc w:val="both"/>
        <w:rPr>
          <w:b/>
          <w:lang w:val="sr-Latn-RS"/>
        </w:rPr>
      </w:pPr>
      <w:r w:rsidRPr="008656D5">
        <w:rPr>
          <w:lang w:val="sr-Latn-RS"/>
        </w:rPr>
        <w:t xml:space="preserve">Dimenzija (i) meri razliku između planiranih i stvarnih rashoda na nivou budžetskih korisnika, kontrolišući odstupanja u ukupnoj potrošnji. Dimenzija (i) meri razliku između planiranih i stvarnih rashoda na nivou budžetskih korisnika, kontrolišući odstupanja u ukupnoj potrošnji. Značajna razlika u pojedinačnim troškovima čini budžet manje pouzdanim u smislu izražavanja strateških opredeljenja. Ovaj indikator zahteva posebno razmatranje troškova koji su izvršeni iz budžetske rezerve zato što oni utiču na odstupanja u strukturi troškova. Ocenjivanje za dimenziju (i) zahteva izračunavanje apsolutne vrednosti razlike između korigovane potrošnje (odnosno prvobitnog budžeta za svaku budžetsku godinu pomnožen ukupnim stvarnim rashodima podeljen sa ukupnim prvobitnim budžetom) u odnosu na prvobitni budžet za svakog budžetskog korisnika a zatim sabiranje ovoga kao procenat ukupnog korigovanog budžeta kako bi se odredila ukupna odstupanja.  </w:t>
      </w:r>
    </w:p>
    <w:tbl>
      <w:tblPr>
        <w:tblW w:w="5120" w:type="dxa"/>
        <w:tblInd w:w="-5" w:type="dxa"/>
        <w:tblLayout w:type="fixed"/>
        <w:tblLook w:val="04A0" w:firstRow="1" w:lastRow="0" w:firstColumn="1" w:lastColumn="0" w:noHBand="0" w:noVBand="1"/>
      </w:tblPr>
      <w:tblGrid>
        <w:gridCol w:w="2560"/>
        <w:gridCol w:w="2560"/>
      </w:tblGrid>
      <w:tr w:rsidR="00261842" w:rsidRPr="00C03E15">
        <w:trPr>
          <w:trHeight w:val="255"/>
        </w:trPr>
        <w:tc>
          <w:tcPr>
            <w:tcW w:w="2560" w:type="dxa"/>
            <w:tcBorders>
              <w:top w:val="single" w:sz="4" w:space="0" w:color="auto"/>
              <w:left w:val="single" w:sz="4" w:space="0" w:color="auto"/>
              <w:bottom w:val="nil"/>
              <w:right w:val="single" w:sz="4" w:space="0" w:color="auto"/>
            </w:tcBorders>
            <w:vAlign w:val="center"/>
          </w:tcPr>
          <w:p w:rsidR="00261842" w:rsidRPr="00C03E15" w:rsidRDefault="00261842">
            <w:pPr>
              <w:spacing w:line="240" w:lineRule="auto"/>
              <w:jc w:val="center"/>
              <w:rPr>
                <w:szCs w:val="24"/>
                <w:lang w:val="sr-Latn-RS"/>
              </w:rPr>
            </w:pPr>
          </w:p>
        </w:tc>
        <w:tc>
          <w:tcPr>
            <w:tcW w:w="2560" w:type="dxa"/>
            <w:tcBorders>
              <w:top w:val="single" w:sz="4" w:space="0" w:color="auto"/>
              <w:left w:val="single" w:sz="4" w:space="0" w:color="auto"/>
              <w:right w:val="single" w:sz="4" w:space="0" w:color="auto"/>
            </w:tcBorders>
            <w:noWrap/>
            <w:vAlign w:val="bottom"/>
            <w:hideMark/>
          </w:tcPr>
          <w:p w:rsidR="00261842" w:rsidRPr="00C03E15" w:rsidRDefault="00261842">
            <w:pPr>
              <w:spacing w:line="240" w:lineRule="auto"/>
              <w:jc w:val="center"/>
              <w:rPr>
                <w:szCs w:val="24"/>
                <w:lang w:val="sr-Latn-RS"/>
              </w:rPr>
            </w:pPr>
            <w:r w:rsidRPr="00C03E15">
              <w:rPr>
                <w:szCs w:val="24"/>
                <w:lang w:val="sr-Latn-RS"/>
              </w:rPr>
              <w:t>PU-2 (i)</w:t>
            </w:r>
          </w:p>
        </w:tc>
      </w:tr>
      <w:tr w:rsidR="00261842" w:rsidRPr="00C03E15">
        <w:trPr>
          <w:trHeight w:val="510"/>
        </w:trPr>
        <w:tc>
          <w:tcPr>
            <w:tcW w:w="2560" w:type="dxa"/>
            <w:tcBorders>
              <w:top w:val="nil"/>
              <w:left w:val="single" w:sz="4" w:space="0" w:color="auto"/>
              <w:bottom w:val="single" w:sz="4" w:space="0" w:color="auto"/>
              <w:right w:val="single" w:sz="4" w:space="0" w:color="auto"/>
            </w:tcBorders>
            <w:vAlign w:val="center"/>
          </w:tcPr>
          <w:p w:rsidR="00261842" w:rsidRPr="00C03E15" w:rsidRDefault="00261842">
            <w:pPr>
              <w:spacing w:line="240" w:lineRule="auto"/>
              <w:jc w:val="center"/>
              <w:rPr>
                <w:szCs w:val="24"/>
                <w:lang w:val="sr-Latn-RS"/>
              </w:rPr>
            </w:pPr>
            <w:r w:rsidRPr="00C03E15">
              <w:rPr>
                <w:szCs w:val="24"/>
                <w:lang w:val="sr-Latn-RS"/>
              </w:rPr>
              <w:t>Godina</w:t>
            </w:r>
          </w:p>
        </w:tc>
        <w:tc>
          <w:tcPr>
            <w:tcW w:w="2560" w:type="dxa"/>
            <w:tcBorders>
              <w:top w:val="nil"/>
              <w:left w:val="single" w:sz="4" w:space="0" w:color="auto"/>
              <w:bottom w:val="single" w:sz="4" w:space="0" w:color="auto"/>
              <w:right w:val="single" w:sz="4" w:space="0" w:color="auto"/>
            </w:tcBorders>
            <w:noWrap/>
            <w:vAlign w:val="center"/>
            <w:hideMark/>
          </w:tcPr>
          <w:p w:rsidR="00261842" w:rsidRPr="00C03E15" w:rsidRDefault="00261842">
            <w:pPr>
              <w:spacing w:line="240" w:lineRule="auto"/>
              <w:jc w:val="center"/>
              <w:rPr>
                <w:szCs w:val="24"/>
                <w:lang w:val="sr-Latn-RS"/>
              </w:rPr>
            </w:pPr>
            <w:r w:rsidRPr="00C03E15">
              <w:rPr>
                <w:szCs w:val="24"/>
                <w:lang w:val="sr-Latn-RS"/>
              </w:rPr>
              <w:t>Veličina odstupanja</w:t>
            </w:r>
          </w:p>
        </w:tc>
      </w:tr>
      <w:tr w:rsidR="00261842" w:rsidRPr="001E4CDF">
        <w:trPr>
          <w:trHeight w:val="255"/>
        </w:trPr>
        <w:tc>
          <w:tcPr>
            <w:tcW w:w="2560" w:type="dxa"/>
            <w:tcBorders>
              <w:top w:val="single" w:sz="4" w:space="0" w:color="auto"/>
              <w:left w:val="single" w:sz="4" w:space="0" w:color="auto"/>
              <w:bottom w:val="nil"/>
              <w:right w:val="single" w:sz="4" w:space="0" w:color="auto"/>
            </w:tcBorders>
            <w:vAlign w:val="bottom"/>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2011</w:t>
            </w:r>
          </w:p>
        </w:tc>
        <w:tc>
          <w:tcPr>
            <w:tcW w:w="2560" w:type="dxa"/>
            <w:tcBorders>
              <w:top w:val="single" w:sz="4" w:space="0" w:color="auto"/>
              <w:left w:val="single" w:sz="4" w:space="0" w:color="auto"/>
              <w:bottom w:val="nil"/>
              <w:right w:val="single" w:sz="4" w:space="0" w:color="auto"/>
            </w:tcBorders>
            <w:noWrap/>
            <w:vAlign w:val="center"/>
            <w:hideMark/>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-28.5%</w:t>
            </w:r>
          </w:p>
        </w:tc>
      </w:tr>
      <w:tr w:rsidR="00261842" w:rsidRPr="001E4CDF">
        <w:trPr>
          <w:trHeight w:val="255"/>
        </w:trPr>
        <w:tc>
          <w:tcPr>
            <w:tcW w:w="2560" w:type="dxa"/>
            <w:tcBorders>
              <w:top w:val="nil"/>
              <w:left w:val="single" w:sz="4" w:space="0" w:color="auto"/>
              <w:bottom w:val="nil"/>
              <w:right w:val="single" w:sz="4" w:space="0" w:color="auto"/>
            </w:tcBorders>
            <w:vAlign w:val="bottom"/>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2012</w:t>
            </w:r>
          </w:p>
        </w:tc>
        <w:tc>
          <w:tcPr>
            <w:tcW w:w="2560" w:type="dxa"/>
            <w:tcBorders>
              <w:top w:val="nil"/>
              <w:left w:val="single" w:sz="4" w:space="0" w:color="auto"/>
              <w:bottom w:val="nil"/>
              <w:right w:val="single" w:sz="4" w:space="0" w:color="auto"/>
            </w:tcBorders>
            <w:noWrap/>
            <w:vAlign w:val="center"/>
            <w:hideMark/>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-15.6%</w:t>
            </w:r>
          </w:p>
        </w:tc>
      </w:tr>
      <w:tr w:rsidR="00261842" w:rsidRPr="001E4CDF">
        <w:trPr>
          <w:trHeight w:val="255"/>
        </w:trPr>
        <w:tc>
          <w:tcPr>
            <w:tcW w:w="2560" w:type="dxa"/>
            <w:tcBorders>
              <w:top w:val="nil"/>
              <w:left w:val="single" w:sz="4" w:space="0" w:color="auto"/>
              <w:bottom w:val="single" w:sz="4" w:space="0" w:color="auto"/>
              <w:right w:val="single" w:sz="4" w:space="0" w:color="auto"/>
            </w:tcBorders>
            <w:vAlign w:val="bottom"/>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2013</w:t>
            </w:r>
          </w:p>
        </w:tc>
        <w:tc>
          <w:tcPr>
            <w:tcW w:w="2560" w:type="dxa"/>
            <w:tcBorders>
              <w:top w:val="nil"/>
              <w:left w:val="single" w:sz="4" w:space="0" w:color="auto"/>
              <w:bottom w:val="single" w:sz="4" w:space="0" w:color="auto"/>
              <w:right w:val="single" w:sz="4" w:space="0" w:color="auto"/>
            </w:tcBorders>
            <w:noWrap/>
            <w:vAlign w:val="center"/>
            <w:hideMark/>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-28.0%</w:t>
            </w:r>
          </w:p>
        </w:tc>
      </w:tr>
    </w:tbl>
    <w:p w:rsidR="00261842" w:rsidRPr="001E4CDF" w:rsidRDefault="00261842">
      <w:pPr>
        <w:pStyle w:val="ParagraphNumbering"/>
        <w:numPr>
          <w:ilvl w:val="0"/>
          <w:numId w:val="0"/>
        </w:numPr>
        <w:spacing w:line="260" w:lineRule="auto"/>
        <w:rPr>
          <w:lang w:val="sr-Latn-RS"/>
        </w:rPr>
      </w:pPr>
      <w:r w:rsidRPr="001E4CDF">
        <w:rPr>
          <w:lang w:val="sr-Latn-RS"/>
        </w:rPr>
        <w:t>Videti aneks za izvorne podatke</w:t>
      </w:r>
    </w:p>
    <w:p w:rsidR="00261842" w:rsidRPr="001E4CDF" w:rsidRDefault="00261842">
      <w:pPr>
        <w:pStyle w:val="ParagraphNumbering"/>
        <w:numPr>
          <w:ilvl w:val="0"/>
          <w:numId w:val="0"/>
        </w:numPr>
        <w:spacing w:line="260" w:lineRule="auto"/>
        <w:rPr>
          <w:lang w:val="sr-Latn-RS"/>
        </w:rPr>
      </w:pPr>
      <w:r w:rsidRPr="001E4CDF">
        <w:rPr>
          <w:lang w:val="sr-Latn-RS"/>
        </w:rPr>
        <w:t>Postoji značajno odstupanje između planiranog budžeta i ostvarenih rashoda u svim administrativnim jedinicama.</w:t>
      </w:r>
    </w:p>
    <w:p w:rsidR="00261842" w:rsidRPr="001E4CDF" w:rsidRDefault="00261842">
      <w:pPr>
        <w:pStyle w:val="ParagraphNumbering"/>
        <w:numPr>
          <w:ilvl w:val="0"/>
          <w:numId w:val="0"/>
        </w:numPr>
        <w:spacing w:after="0" w:line="240" w:lineRule="auto"/>
        <w:rPr>
          <w:lang w:val="sr-Latn-RS"/>
        </w:rPr>
      </w:pPr>
      <w:r w:rsidRPr="001E4CDF">
        <w:rPr>
          <w:lang w:val="sr-Latn-RS"/>
        </w:rPr>
        <w:t>Ocena D</w:t>
      </w:r>
    </w:p>
    <w:p w:rsidR="00261842" w:rsidRDefault="00261842">
      <w:pPr>
        <w:pStyle w:val="ParagraphNumbering"/>
        <w:numPr>
          <w:ilvl w:val="0"/>
          <w:numId w:val="0"/>
        </w:numPr>
        <w:rPr>
          <w:b/>
          <w:lang w:val="sr-Latn-RS"/>
        </w:rPr>
      </w:pPr>
    </w:p>
    <w:p w:rsidR="008656D5" w:rsidRDefault="008656D5">
      <w:pPr>
        <w:pStyle w:val="ParagraphNumbering"/>
        <w:numPr>
          <w:ilvl w:val="0"/>
          <w:numId w:val="0"/>
        </w:numPr>
        <w:rPr>
          <w:b/>
          <w:lang w:val="sr-Latn-RS"/>
        </w:rPr>
      </w:pPr>
    </w:p>
    <w:p w:rsidR="008656D5" w:rsidRPr="001E4CDF" w:rsidRDefault="008656D5">
      <w:pPr>
        <w:pStyle w:val="ParagraphNumbering"/>
        <w:numPr>
          <w:ilvl w:val="0"/>
          <w:numId w:val="0"/>
        </w:numPr>
        <w:rPr>
          <w:b/>
          <w:lang w:val="sr-Latn-RS"/>
        </w:rPr>
      </w:pPr>
    </w:p>
    <w:p w:rsidR="00261842" w:rsidRPr="001E4CDF" w:rsidRDefault="00261842">
      <w:pPr>
        <w:pStyle w:val="ParagraphNumbering"/>
        <w:numPr>
          <w:ilvl w:val="0"/>
          <w:numId w:val="0"/>
        </w:numPr>
        <w:spacing w:line="260" w:lineRule="auto"/>
        <w:rPr>
          <w:b/>
          <w:color w:val="000000"/>
          <w:lang w:val="sr-Latn-RS"/>
        </w:rPr>
      </w:pPr>
      <w:r w:rsidRPr="001E4CDF">
        <w:rPr>
          <w:b/>
          <w:color w:val="000000"/>
          <w:lang w:val="sr-Latn-RS"/>
        </w:rPr>
        <w:lastRenderedPageBreak/>
        <w:t xml:space="preserve"> (</w:t>
      </w:r>
      <w:proofErr w:type="spellStart"/>
      <w:r w:rsidRPr="001E4CDF">
        <w:rPr>
          <w:b/>
          <w:color w:val="000000"/>
          <w:lang w:val="sr-Latn-RS"/>
        </w:rPr>
        <w:t>ii</w:t>
      </w:r>
      <w:proofErr w:type="spellEnd"/>
      <w:r w:rsidRPr="001E4CDF">
        <w:rPr>
          <w:b/>
          <w:color w:val="000000"/>
          <w:lang w:val="sr-Latn-RS"/>
        </w:rPr>
        <w:t>) Prosečan nivo rashoda izvršenih iz budžetske rezerve u prethodne tri godine</w:t>
      </w:r>
    </w:p>
    <w:tbl>
      <w:tblPr>
        <w:tblW w:w="2400" w:type="dxa"/>
        <w:tblInd w:w="-5" w:type="dxa"/>
        <w:tblLayout w:type="fixed"/>
        <w:tblLook w:val="04A0" w:firstRow="1" w:lastRow="0" w:firstColumn="1" w:lastColumn="0" w:noHBand="0" w:noVBand="1"/>
      </w:tblPr>
      <w:tblGrid>
        <w:gridCol w:w="2400"/>
      </w:tblGrid>
      <w:tr w:rsidR="00261842" w:rsidRPr="00C03E15">
        <w:trPr>
          <w:trHeight w:val="255"/>
        </w:trPr>
        <w:tc>
          <w:tcPr>
            <w:tcW w:w="2400" w:type="dxa"/>
            <w:tcBorders>
              <w:top w:val="single" w:sz="4" w:space="0" w:color="auto"/>
              <w:left w:val="single" w:sz="4" w:space="0" w:color="auto"/>
              <w:right w:val="single" w:sz="4" w:space="0" w:color="auto"/>
            </w:tcBorders>
            <w:noWrap/>
            <w:vAlign w:val="bottom"/>
            <w:hideMark/>
          </w:tcPr>
          <w:p w:rsidR="00261842" w:rsidRPr="00C03E15" w:rsidRDefault="00261842">
            <w:pPr>
              <w:spacing w:line="240" w:lineRule="auto"/>
              <w:jc w:val="center"/>
              <w:rPr>
                <w:szCs w:val="24"/>
                <w:lang w:val="sr-Latn-RS"/>
              </w:rPr>
            </w:pPr>
            <w:r w:rsidRPr="00C03E15">
              <w:rPr>
                <w:szCs w:val="24"/>
                <w:lang w:val="sr-Latn-RS"/>
              </w:rPr>
              <w:t>PU-2 (</w:t>
            </w:r>
            <w:proofErr w:type="spellStart"/>
            <w:r w:rsidRPr="00C03E15">
              <w:rPr>
                <w:szCs w:val="24"/>
                <w:lang w:val="sr-Latn-RS"/>
              </w:rPr>
              <w:t>ii</w:t>
            </w:r>
            <w:proofErr w:type="spellEnd"/>
            <w:r w:rsidRPr="00C03E15">
              <w:rPr>
                <w:szCs w:val="24"/>
                <w:lang w:val="sr-Latn-RS"/>
              </w:rPr>
              <w:t>)</w:t>
            </w:r>
          </w:p>
        </w:tc>
      </w:tr>
      <w:tr w:rsidR="00261842" w:rsidRPr="00C03E15">
        <w:trPr>
          <w:trHeight w:val="510"/>
        </w:trPr>
        <w:tc>
          <w:tcPr>
            <w:tcW w:w="2400" w:type="dxa"/>
            <w:tcBorders>
              <w:top w:val="nil"/>
              <w:left w:val="single" w:sz="4" w:space="0" w:color="auto"/>
              <w:bottom w:val="single" w:sz="4" w:space="0" w:color="auto"/>
              <w:right w:val="single" w:sz="4" w:space="0" w:color="000000"/>
            </w:tcBorders>
            <w:noWrap/>
            <w:vAlign w:val="center"/>
            <w:hideMark/>
          </w:tcPr>
          <w:p w:rsidR="00261842" w:rsidRPr="00C03E15" w:rsidRDefault="00261842">
            <w:pPr>
              <w:spacing w:line="240" w:lineRule="auto"/>
              <w:jc w:val="center"/>
              <w:rPr>
                <w:szCs w:val="24"/>
                <w:lang w:val="sr-Latn-RS"/>
              </w:rPr>
            </w:pPr>
            <w:r w:rsidRPr="00C03E15">
              <w:rPr>
                <w:szCs w:val="24"/>
                <w:lang w:val="sr-Latn-RS"/>
              </w:rPr>
              <w:t>rashoda iz budžetske rezerve</w:t>
            </w:r>
          </w:p>
        </w:tc>
      </w:tr>
      <w:tr w:rsidR="00261842" w:rsidRPr="001E4CDF">
        <w:trPr>
          <w:trHeight w:val="255"/>
        </w:trPr>
        <w:tc>
          <w:tcPr>
            <w:tcW w:w="2400" w:type="dxa"/>
            <w:vMerge w:val="restart"/>
            <w:tcBorders>
              <w:top w:val="single" w:sz="4" w:space="0" w:color="auto"/>
              <w:left w:val="single" w:sz="4" w:space="0" w:color="auto"/>
              <w:bottom w:val="single" w:sz="4" w:space="0" w:color="000000"/>
              <w:right w:val="single" w:sz="4" w:space="0" w:color="000000"/>
            </w:tcBorders>
            <w:noWrap/>
            <w:vAlign w:val="center"/>
            <w:hideMark/>
          </w:tcPr>
          <w:p w:rsidR="00261842" w:rsidRPr="001E4CDF" w:rsidRDefault="00261842">
            <w:pPr>
              <w:spacing w:line="240" w:lineRule="auto"/>
              <w:jc w:val="center"/>
              <w:rPr>
                <w:rFonts w:ascii="Arial" w:hAnsi="Arial"/>
                <w:sz w:val="20"/>
                <w:szCs w:val="24"/>
                <w:lang w:val="sr-Latn-RS"/>
              </w:rPr>
            </w:pPr>
            <w:r w:rsidRPr="001E4CDF">
              <w:rPr>
                <w:rFonts w:ascii="Arial" w:hAnsi="Arial"/>
                <w:sz w:val="20"/>
                <w:szCs w:val="24"/>
                <w:lang w:val="sr-Latn-RS"/>
              </w:rPr>
              <w:t>0.0%</w:t>
            </w:r>
          </w:p>
        </w:tc>
      </w:tr>
      <w:tr w:rsidR="00261842" w:rsidRPr="001E4CDF">
        <w:trPr>
          <w:trHeight w:val="255"/>
        </w:trPr>
        <w:tc>
          <w:tcPr>
            <w:tcW w:w="2400" w:type="dxa"/>
            <w:vMerge/>
            <w:tcBorders>
              <w:top w:val="single" w:sz="4" w:space="0" w:color="000000"/>
              <w:left w:val="single" w:sz="4" w:space="0" w:color="auto"/>
              <w:bottom w:val="single" w:sz="4" w:space="0" w:color="000000"/>
              <w:right w:val="single" w:sz="4" w:space="0" w:color="000000"/>
            </w:tcBorders>
            <w:vAlign w:val="center"/>
            <w:hideMark/>
          </w:tcPr>
          <w:p w:rsidR="00261842" w:rsidRPr="001E4CDF" w:rsidRDefault="00261842">
            <w:pPr>
              <w:spacing w:line="240" w:lineRule="auto"/>
              <w:rPr>
                <w:rFonts w:ascii="Arial" w:hAnsi="Arial"/>
                <w:sz w:val="20"/>
                <w:szCs w:val="24"/>
                <w:lang w:val="sr-Latn-RS"/>
              </w:rPr>
            </w:pPr>
          </w:p>
        </w:tc>
      </w:tr>
      <w:tr w:rsidR="00261842" w:rsidRPr="001E4CDF">
        <w:trPr>
          <w:trHeight w:val="255"/>
        </w:trPr>
        <w:tc>
          <w:tcPr>
            <w:tcW w:w="2400" w:type="dxa"/>
            <w:vMerge/>
            <w:tcBorders>
              <w:top w:val="single" w:sz="4" w:space="0" w:color="000000"/>
              <w:left w:val="single" w:sz="4" w:space="0" w:color="auto"/>
              <w:bottom w:val="single" w:sz="4" w:space="0" w:color="000000"/>
              <w:right w:val="single" w:sz="4" w:space="0" w:color="000000"/>
            </w:tcBorders>
            <w:vAlign w:val="center"/>
            <w:hideMark/>
          </w:tcPr>
          <w:p w:rsidR="00261842" w:rsidRPr="001E4CDF" w:rsidRDefault="00261842">
            <w:pPr>
              <w:spacing w:line="240" w:lineRule="auto"/>
              <w:rPr>
                <w:rFonts w:ascii="Arial" w:hAnsi="Arial"/>
                <w:sz w:val="20"/>
                <w:szCs w:val="24"/>
                <w:lang w:val="sr-Latn-RS"/>
              </w:rPr>
            </w:pPr>
          </w:p>
        </w:tc>
      </w:tr>
    </w:tbl>
    <w:p w:rsidR="00261842" w:rsidRPr="001E4CDF" w:rsidRDefault="00261842">
      <w:pPr>
        <w:pStyle w:val="ParagraphNumbering"/>
        <w:numPr>
          <w:ilvl w:val="0"/>
          <w:numId w:val="0"/>
        </w:numPr>
        <w:rPr>
          <w:color w:val="000000"/>
          <w:lang w:val="sr-Latn-RS"/>
        </w:rPr>
      </w:pPr>
    </w:p>
    <w:p w:rsidR="00261842" w:rsidRPr="001E4CDF" w:rsidRDefault="00261842">
      <w:pPr>
        <w:pStyle w:val="ParagraphNumbering"/>
        <w:numPr>
          <w:ilvl w:val="0"/>
          <w:numId w:val="0"/>
        </w:numPr>
        <w:spacing w:line="260" w:lineRule="auto"/>
        <w:rPr>
          <w:color w:val="000000"/>
          <w:lang w:val="sr-Latn-RS"/>
        </w:rPr>
      </w:pPr>
      <w:r w:rsidRPr="001E4CDF">
        <w:rPr>
          <w:color w:val="000000"/>
          <w:lang w:val="sr-Latn-RS"/>
        </w:rPr>
        <w:t>Nivo budžetski rezervi u ukupnom izvršenom rashodu je mali.</w:t>
      </w:r>
    </w:p>
    <w:p w:rsidR="00261842" w:rsidRPr="001E4CDF" w:rsidRDefault="00261842">
      <w:pPr>
        <w:pStyle w:val="ParagraphNumbering"/>
        <w:numPr>
          <w:ilvl w:val="0"/>
          <w:numId w:val="0"/>
        </w:numPr>
        <w:spacing w:line="260" w:lineRule="auto"/>
        <w:rPr>
          <w:color w:val="000000"/>
          <w:lang w:val="sr-Latn-RS"/>
        </w:rPr>
      </w:pPr>
      <w:r w:rsidRPr="001E4CDF">
        <w:rPr>
          <w:color w:val="000000"/>
          <w:lang w:val="sr-Latn-RS"/>
        </w:rPr>
        <w:t>Ocena A</w:t>
      </w:r>
    </w:p>
    <w:p w:rsidR="00261842" w:rsidRPr="001E4CDF" w:rsidRDefault="00261842">
      <w:pPr>
        <w:pStyle w:val="ParagraphNumbering"/>
        <w:numPr>
          <w:ilvl w:val="0"/>
          <w:numId w:val="0"/>
        </w:numPr>
        <w:rPr>
          <w:b/>
          <w:color w:val="000000"/>
          <w:lang w:val="sr-Latn-RS"/>
        </w:rPr>
      </w:pPr>
    </w:p>
    <w:p w:rsidR="00261842" w:rsidRPr="001E4CDF" w:rsidRDefault="00261842">
      <w:pPr>
        <w:spacing w:line="260" w:lineRule="auto"/>
        <w:rPr>
          <w:b/>
          <w:szCs w:val="24"/>
          <w:lang w:val="sr-Latn-RS"/>
        </w:rPr>
      </w:pPr>
      <w:r w:rsidRPr="001E4CDF">
        <w:rPr>
          <w:b/>
          <w:szCs w:val="24"/>
          <w:lang w:val="sr-Latn-RS"/>
        </w:rPr>
        <w:t>PU-3 Ukupno ostvareni prihodi u odnosu na odobreni budžet</w:t>
      </w:r>
    </w:p>
    <w:p w:rsidR="00261842" w:rsidRPr="001E4CDF" w:rsidRDefault="00261842">
      <w:pPr>
        <w:rPr>
          <w:szCs w:val="24"/>
          <w:lang w:val="sr-Latn-RS"/>
        </w:rPr>
      </w:pPr>
    </w:p>
    <w:tbl>
      <w:tblPr>
        <w:tblW w:w="8944" w:type="dxa"/>
        <w:tblInd w:w="95" w:type="dxa"/>
        <w:tblLayout w:type="fixed"/>
        <w:tblLook w:val="04A0" w:firstRow="1" w:lastRow="0" w:firstColumn="1" w:lastColumn="0" w:noHBand="0" w:noVBand="1"/>
      </w:tblPr>
      <w:tblGrid>
        <w:gridCol w:w="2990"/>
        <w:gridCol w:w="1134"/>
        <w:gridCol w:w="4820"/>
      </w:tblGrid>
      <w:tr w:rsidR="00261842" w:rsidRPr="00025057">
        <w:trPr>
          <w:trHeight w:val="300"/>
        </w:trPr>
        <w:tc>
          <w:tcPr>
            <w:tcW w:w="2990" w:type="dxa"/>
            <w:tcBorders>
              <w:top w:val="single" w:sz="4" w:space="0" w:color="auto"/>
              <w:left w:val="single" w:sz="4" w:space="0" w:color="auto"/>
              <w:bottom w:val="single" w:sz="4" w:space="0" w:color="auto"/>
              <w:right w:val="single" w:sz="4" w:space="0" w:color="auto"/>
            </w:tcBorders>
            <w:shd w:val="clear" w:color="auto" w:fill="D2EFFF"/>
            <w:vAlign w:val="center"/>
          </w:tcPr>
          <w:p w:rsidR="00261842" w:rsidRPr="00C03E15" w:rsidRDefault="00261842">
            <w:pPr>
              <w:spacing w:line="240" w:lineRule="auto"/>
              <w:rPr>
                <w:b/>
                <w:color w:val="000000"/>
                <w:sz w:val="20"/>
                <w:szCs w:val="24"/>
                <w:lang w:val="sr-Latn-RS"/>
              </w:rPr>
            </w:pPr>
          </w:p>
        </w:tc>
        <w:tc>
          <w:tcPr>
            <w:tcW w:w="5954" w:type="dxa"/>
            <w:gridSpan w:val="2"/>
            <w:tcBorders>
              <w:top w:val="single" w:sz="4" w:space="0" w:color="auto"/>
              <w:left w:val="nil"/>
              <w:bottom w:val="single" w:sz="4" w:space="0" w:color="auto"/>
              <w:right w:val="single" w:sz="4" w:space="0" w:color="auto"/>
            </w:tcBorders>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M1)</w:t>
            </w:r>
          </w:p>
        </w:tc>
      </w:tr>
      <w:tr w:rsidR="00261842" w:rsidRPr="00C03E15">
        <w:trPr>
          <w:trHeight w:val="300"/>
        </w:trPr>
        <w:tc>
          <w:tcPr>
            <w:tcW w:w="2990" w:type="dxa"/>
            <w:tcBorders>
              <w:top w:val="single" w:sz="4" w:space="0" w:color="auto"/>
              <w:left w:val="single" w:sz="4" w:space="0" w:color="auto"/>
              <w:bottom w:val="single" w:sz="4" w:space="0" w:color="auto"/>
              <w:right w:val="single" w:sz="4" w:space="0" w:color="auto"/>
            </w:tcBorders>
            <w:shd w:val="clear" w:color="auto" w:fill="D2EFFF"/>
            <w:vAlign w:val="center"/>
            <w:hideMark/>
          </w:tcPr>
          <w:p w:rsidR="00261842" w:rsidRPr="00C03E15" w:rsidRDefault="00261842">
            <w:pPr>
              <w:spacing w:line="240" w:lineRule="auto"/>
              <w:rPr>
                <w:b/>
                <w:color w:val="000000"/>
                <w:sz w:val="20"/>
                <w:szCs w:val="24"/>
                <w:lang w:val="sr-Latn-RS"/>
              </w:rPr>
            </w:pPr>
          </w:p>
        </w:tc>
        <w:tc>
          <w:tcPr>
            <w:tcW w:w="1134"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b/>
                <w:color w:val="000000"/>
                <w:sz w:val="20"/>
                <w:szCs w:val="24"/>
                <w:lang w:val="sr-Latn-RS"/>
              </w:rPr>
            </w:pPr>
            <w:r w:rsidRPr="00C03E15">
              <w:rPr>
                <w:b/>
                <w:color w:val="000000"/>
                <w:sz w:val="20"/>
                <w:szCs w:val="24"/>
                <w:lang w:val="sr-Latn-RS"/>
              </w:rPr>
              <w:t>2014</w:t>
            </w:r>
          </w:p>
        </w:tc>
        <w:tc>
          <w:tcPr>
            <w:tcW w:w="4820"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szCs w:val="24"/>
                <w:lang w:val="sr-Latn-RS"/>
              </w:rPr>
            </w:pPr>
            <w:r w:rsidRPr="00C03E15">
              <w:rPr>
                <w:b/>
                <w:color w:val="000000"/>
                <w:sz w:val="20"/>
                <w:szCs w:val="24"/>
                <w:lang w:val="sr-Latn-RS"/>
              </w:rPr>
              <w:t>Objašnjenje</w:t>
            </w:r>
          </w:p>
        </w:tc>
      </w:tr>
      <w:tr w:rsidR="00261842" w:rsidRPr="00C03E15">
        <w:trPr>
          <w:trHeight w:val="300"/>
        </w:trPr>
        <w:tc>
          <w:tcPr>
            <w:tcW w:w="2990" w:type="dxa"/>
            <w:tcBorders>
              <w:top w:val="nil"/>
              <w:left w:val="single" w:sz="4" w:space="0" w:color="auto"/>
              <w:bottom w:val="single" w:sz="4" w:space="0" w:color="auto"/>
              <w:right w:val="single" w:sz="4" w:space="0" w:color="auto"/>
            </w:tcBorders>
          </w:tcPr>
          <w:p w:rsidR="00261842" w:rsidRPr="00C03E15" w:rsidRDefault="00261842">
            <w:pPr>
              <w:pStyle w:val="ParagraphNumbering"/>
              <w:numPr>
                <w:ilvl w:val="0"/>
                <w:numId w:val="0"/>
              </w:numPr>
              <w:spacing w:line="260" w:lineRule="auto"/>
              <w:rPr>
                <w:lang w:val="sr-Latn-RS"/>
              </w:rPr>
            </w:pPr>
            <w:r w:rsidRPr="00C03E15">
              <w:rPr>
                <w:b/>
                <w:sz w:val="20"/>
                <w:lang w:val="sr-Latn-RS"/>
              </w:rPr>
              <w:t>PU-3 Ukupno ostvareni prihodi u odnosu na odobreni budžet</w:t>
            </w:r>
          </w:p>
        </w:tc>
        <w:tc>
          <w:tcPr>
            <w:tcW w:w="1134" w:type="dxa"/>
            <w:tcBorders>
              <w:top w:val="nil"/>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b/>
                <w:color w:val="000000"/>
                <w:sz w:val="20"/>
                <w:szCs w:val="24"/>
                <w:lang w:val="sr-Latn-RS"/>
              </w:rPr>
              <w:t>Ocena A</w:t>
            </w:r>
          </w:p>
        </w:tc>
        <w:tc>
          <w:tcPr>
            <w:tcW w:w="4820" w:type="dxa"/>
            <w:tcBorders>
              <w:top w:val="nil"/>
              <w:left w:val="nil"/>
              <w:bottom w:val="single" w:sz="4" w:space="0" w:color="auto"/>
              <w:right w:val="single" w:sz="4" w:space="0" w:color="auto"/>
            </w:tcBorders>
          </w:tcPr>
          <w:p w:rsidR="00261842" w:rsidRPr="00C03E15" w:rsidRDefault="00261842">
            <w:pPr>
              <w:spacing w:line="240" w:lineRule="auto"/>
              <w:rPr>
                <w:sz w:val="20"/>
                <w:szCs w:val="24"/>
                <w:lang w:val="sr-Latn-RS"/>
              </w:rPr>
            </w:pPr>
          </w:p>
        </w:tc>
      </w:tr>
      <w:tr w:rsidR="00261842" w:rsidRPr="00025057">
        <w:trPr>
          <w:trHeight w:val="300"/>
        </w:trPr>
        <w:tc>
          <w:tcPr>
            <w:tcW w:w="2990" w:type="dxa"/>
            <w:tcBorders>
              <w:top w:val="nil"/>
              <w:left w:val="single" w:sz="4" w:space="0" w:color="auto"/>
              <w:bottom w:val="single" w:sz="4" w:space="0" w:color="auto"/>
              <w:right w:val="single" w:sz="4" w:space="0" w:color="auto"/>
            </w:tcBorders>
            <w:hideMark/>
          </w:tcPr>
          <w:p w:rsidR="00261842" w:rsidRPr="00C03E15" w:rsidRDefault="00261842">
            <w:pPr>
              <w:spacing w:line="240" w:lineRule="auto"/>
              <w:rPr>
                <w:szCs w:val="24"/>
                <w:lang w:val="sr-Latn-RS"/>
              </w:rPr>
            </w:pPr>
            <w:r w:rsidRPr="00C03E15">
              <w:rPr>
                <w:color w:val="000000"/>
                <w:sz w:val="20"/>
                <w:szCs w:val="24"/>
                <w:lang w:val="sr-Latn-RS"/>
              </w:rPr>
              <w:t>(i) Ostvarenje sopstvenih prihoda u odnosu na sopstvene prihode planirane prvobitno odobrenim budžetom</w:t>
            </w:r>
          </w:p>
        </w:tc>
        <w:tc>
          <w:tcPr>
            <w:tcW w:w="1134" w:type="dxa"/>
            <w:tcBorders>
              <w:top w:val="nil"/>
              <w:left w:val="nil"/>
              <w:bottom w:val="single" w:sz="4" w:space="0" w:color="auto"/>
              <w:right w:val="single" w:sz="4" w:space="0" w:color="auto"/>
            </w:tcBorders>
            <w:hideMark/>
          </w:tcPr>
          <w:p w:rsidR="00261842" w:rsidRPr="00C03E15" w:rsidRDefault="00261842">
            <w:pPr>
              <w:spacing w:line="240" w:lineRule="auto"/>
              <w:jc w:val="center"/>
              <w:rPr>
                <w:szCs w:val="24"/>
                <w:lang w:val="sr-Latn-RS"/>
              </w:rPr>
            </w:pPr>
            <w:r w:rsidRPr="00C03E15">
              <w:rPr>
                <w:color w:val="000000"/>
                <w:sz w:val="20"/>
                <w:szCs w:val="24"/>
                <w:lang w:val="sr-Latn-RS"/>
              </w:rPr>
              <w:t>A</w:t>
            </w:r>
          </w:p>
        </w:tc>
        <w:tc>
          <w:tcPr>
            <w:tcW w:w="4820" w:type="dxa"/>
            <w:tcBorders>
              <w:top w:val="nil"/>
              <w:left w:val="nil"/>
              <w:bottom w:val="single" w:sz="4" w:space="0" w:color="auto"/>
              <w:right w:val="single" w:sz="4" w:space="0" w:color="auto"/>
            </w:tcBorders>
            <w:hideMark/>
          </w:tcPr>
          <w:p w:rsidR="00261842" w:rsidRPr="00C03E15" w:rsidRDefault="00261842">
            <w:pPr>
              <w:spacing w:line="240" w:lineRule="auto"/>
              <w:rPr>
                <w:szCs w:val="24"/>
                <w:lang w:val="sr-Latn-RS"/>
              </w:rPr>
            </w:pPr>
            <w:r w:rsidRPr="00C03E15">
              <w:rPr>
                <w:color w:val="000000"/>
                <w:sz w:val="20"/>
                <w:szCs w:val="24"/>
                <w:lang w:val="sr-Latn-RS"/>
              </w:rPr>
              <w:t xml:space="preserve">Ostvareni budžetski prihodi bili su između 97% i 106% u barem dve od poslednje tri godine.  </w:t>
            </w:r>
          </w:p>
        </w:tc>
      </w:tr>
    </w:tbl>
    <w:p w:rsidR="00261842" w:rsidRPr="001E4CDF" w:rsidRDefault="00261842">
      <w:pPr>
        <w:pStyle w:val="ParagraphNumbering"/>
        <w:numPr>
          <w:ilvl w:val="0"/>
          <w:numId w:val="0"/>
        </w:numPr>
        <w:rPr>
          <w:lang w:val="sr-Latn-RS"/>
        </w:rPr>
      </w:pPr>
    </w:p>
    <w:p w:rsidR="00261842" w:rsidRDefault="00261842" w:rsidP="00F76155">
      <w:pPr>
        <w:pStyle w:val="ParagraphNumbering"/>
        <w:numPr>
          <w:ilvl w:val="0"/>
          <w:numId w:val="0"/>
        </w:numPr>
        <w:spacing w:line="260" w:lineRule="auto"/>
        <w:jc w:val="both"/>
        <w:rPr>
          <w:lang w:val="sr-Latn-RS"/>
        </w:rPr>
      </w:pPr>
      <w:r w:rsidRPr="00F76155">
        <w:rPr>
          <w:lang w:val="sr-Latn-RS"/>
        </w:rPr>
        <w:t xml:space="preserve">Indikator meri razliku između stvarno ostvarenih prihoda i procene prihoda prikazanih u godišnjem budžetu. Razlike u ostvarivanju prihoda utiču na ukupnu pouzdanost budžeta. Dobro predviđanje prihoda je ključno za budžetsko planiranje obzirom da značajna odstupanja u ostvarivanju prihoda zahtevaju prilagođavanje rashoda tokom godine i/ili promene u eksternom finansiranju radi dostizanja budžetskih ciljeva.  Lošija realizacija dovodi do većeg deficita i/ili smanjenja potrošnje, dok veće ostvarenje od planiranog može dovesti do neplanirane potrošnje i rizika neekonomičnog korišćenja resursa. </w:t>
      </w:r>
    </w:p>
    <w:p w:rsidR="00F76155" w:rsidRDefault="00F76155" w:rsidP="00F76155">
      <w:pPr>
        <w:pStyle w:val="ParagraphNumbering"/>
        <w:numPr>
          <w:ilvl w:val="0"/>
          <w:numId w:val="0"/>
        </w:numPr>
        <w:spacing w:line="260" w:lineRule="auto"/>
        <w:jc w:val="both"/>
        <w:rPr>
          <w:lang w:val="sr-Latn-RS"/>
        </w:rPr>
      </w:pPr>
    </w:p>
    <w:p w:rsidR="00F76155" w:rsidRDefault="00F76155" w:rsidP="00F76155">
      <w:pPr>
        <w:pStyle w:val="ParagraphNumbering"/>
        <w:numPr>
          <w:ilvl w:val="0"/>
          <w:numId w:val="0"/>
        </w:numPr>
        <w:spacing w:line="260" w:lineRule="auto"/>
        <w:jc w:val="both"/>
        <w:rPr>
          <w:lang w:val="sr-Latn-RS"/>
        </w:rPr>
      </w:pPr>
    </w:p>
    <w:p w:rsidR="00F76155" w:rsidRPr="00F76155" w:rsidRDefault="00F76155" w:rsidP="00F76155">
      <w:pPr>
        <w:pStyle w:val="ParagraphNumbering"/>
        <w:numPr>
          <w:ilvl w:val="0"/>
          <w:numId w:val="0"/>
        </w:numPr>
        <w:spacing w:line="260" w:lineRule="auto"/>
        <w:jc w:val="both"/>
        <w:rPr>
          <w:color w:val="000000"/>
          <w:lang w:val="sr-Latn-RS"/>
        </w:rPr>
      </w:pPr>
    </w:p>
    <w:p w:rsidR="00261842" w:rsidRPr="001E4CDF" w:rsidRDefault="00261842">
      <w:pPr>
        <w:pStyle w:val="ParagraphNumbering"/>
        <w:numPr>
          <w:ilvl w:val="0"/>
          <w:numId w:val="0"/>
        </w:numPr>
        <w:spacing w:after="0" w:line="240" w:lineRule="auto"/>
        <w:rPr>
          <w:b/>
          <w:color w:val="000000"/>
          <w:lang w:val="sr-Latn-RS"/>
        </w:rPr>
      </w:pPr>
      <w:r w:rsidRPr="001E4CDF">
        <w:rPr>
          <w:b/>
          <w:color w:val="000000"/>
          <w:lang w:val="sr-Latn-RS"/>
        </w:rPr>
        <w:lastRenderedPageBreak/>
        <w:t>(i) Ostvarenje sopstvenih prihoda u odnosu na sopstvene prihode planirane prvobitno odobrenim budžetom</w:t>
      </w:r>
    </w:p>
    <w:p w:rsidR="00261842" w:rsidRPr="001E4CDF" w:rsidRDefault="00261842">
      <w:pPr>
        <w:pStyle w:val="ParagraphNumbering"/>
        <w:numPr>
          <w:ilvl w:val="0"/>
          <w:numId w:val="0"/>
        </w:numPr>
        <w:rPr>
          <w:lang w:val="sr-Latn-RS"/>
        </w:rPr>
      </w:pPr>
      <w:r w:rsidRPr="001E4CDF">
        <w:rPr>
          <w:lang w:val="sr-Latn-RS"/>
        </w:rPr>
        <w:t xml:space="preserve"> </w:t>
      </w:r>
    </w:p>
    <w:tbl>
      <w:tblPr>
        <w:tblW w:w="15913" w:type="dxa"/>
        <w:tblLayout w:type="fixed"/>
        <w:tblLook w:val="04A0" w:firstRow="1" w:lastRow="0" w:firstColumn="1" w:lastColumn="0" w:noHBand="0" w:noVBand="1"/>
      </w:tblPr>
      <w:tblGrid>
        <w:gridCol w:w="1161"/>
        <w:gridCol w:w="460"/>
        <w:gridCol w:w="1194"/>
        <w:gridCol w:w="1038"/>
        <w:gridCol w:w="236"/>
        <w:gridCol w:w="236"/>
        <w:gridCol w:w="261"/>
        <w:gridCol w:w="1194"/>
        <w:gridCol w:w="1038"/>
        <w:gridCol w:w="733"/>
        <w:gridCol w:w="1194"/>
        <w:gridCol w:w="937"/>
        <w:gridCol w:w="101"/>
        <w:gridCol w:w="733"/>
        <w:gridCol w:w="3341"/>
        <w:gridCol w:w="985"/>
        <w:gridCol w:w="1071"/>
      </w:tblGrid>
      <w:tr w:rsidR="00261842" w:rsidRPr="00C03E15">
        <w:trPr>
          <w:trHeight w:val="255"/>
        </w:trPr>
        <w:tc>
          <w:tcPr>
            <w:tcW w:w="1161" w:type="dxa"/>
            <w:tcBorders>
              <w:top w:val="nil"/>
              <w:left w:val="nil"/>
              <w:bottom w:val="nil"/>
              <w:right w:val="nil"/>
            </w:tcBorders>
            <w:noWrap/>
            <w:vAlign w:val="bottom"/>
            <w:hideMark/>
          </w:tcPr>
          <w:p w:rsidR="00261842" w:rsidRPr="00C03E15" w:rsidRDefault="00261842">
            <w:pPr>
              <w:spacing w:line="240" w:lineRule="auto"/>
              <w:rPr>
                <w:szCs w:val="24"/>
                <w:lang w:val="sr-Latn-RS"/>
              </w:rPr>
            </w:pPr>
            <w:r w:rsidRPr="00C03E15">
              <w:rPr>
                <w:sz w:val="20"/>
                <w:szCs w:val="24"/>
                <w:lang w:val="sr-Latn-RS"/>
              </w:rPr>
              <w:t>RSD 000</w:t>
            </w:r>
          </w:p>
        </w:tc>
        <w:tc>
          <w:tcPr>
            <w:tcW w:w="460" w:type="dxa"/>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c>
          <w:tcPr>
            <w:tcW w:w="1194" w:type="dxa"/>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c>
          <w:tcPr>
            <w:tcW w:w="1038" w:type="dxa"/>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c>
          <w:tcPr>
            <w:tcW w:w="236" w:type="dxa"/>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c>
          <w:tcPr>
            <w:tcW w:w="236" w:type="dxa"/>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c>
          <w:tcPr>
            <w:tcW w:w="2493" w:type="dxa"/>
            <w:gridSpan w:val="3"/>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c>
          <w:tcPr>
            <w:tcW w:w="2864" w:type="dxa"/>
            <w:gridSpan w:val="3"/>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c>
          <w:tcPr>
            <w:tcW w:w="4175" w:type="dxa"/>
            <w:gridSpan w:val="3"/>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c>
          <w:tcPr>
            <w:tcW w:w="985" w:type="dxa"/>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c>
          <w:tcPr>
            <w:tcW w:w="1071" w:type="dxa"/>
            <w:tcBorders>
              <w:top w:val="nil"/>
              <w:left w:val="nil"/>
              <w:bottom w:val="nil"/>
              <w:right w:val="nil"/>
            </w:tcBorders>
            <w:noWrap/>
            <w:vAlign w:val="bottom"/>
            <w:hideMark/>
          </w:tcPr>
          <w:p w:rsidR="00261842" w:rsidRPr="00C03E15" w:rsidRDefault="00261842">
            <w:pPr>
              <w:spacing w:line="240" w:lineRule="auto"/>
              <w:rPr>
                <w:sz w:val="20"/>
                <w:szCs w:val="24"/>
                <w:lang w:val="sr-Latn-RS"/>
              </w:rPr>
            </w:pPr>
          </w:p>
        </w:tc>
      </w:tr>
      <w:tr w:rsidR="00261842" w:rsidRPr="00C03E15">
        <w:trPr>
          <w:gridAfter w:val="3"/>
          <w:wAfter w:w="5397" w:type="dxa"/>
          <w:trHeight w:val="255"/>
        </w:trPr>
        <w:tc>
          <w:tcPr>
            <w:tcW w:w="1621" w:type="dxa"/>
            <w:gridSpan w:val="2"/>
            <w:tcBorders>
              <w:top w:val="nil"/>
              <w:left w:val="nil"/>
              <w:bottom w:val="nil"/>
              <w:right w:val="single" w:sz="4" w:space="0" w:color="auto"/>
            </w:tcBorders>
            <w:noWrap/>
            <w:vAlign w:val="bottom"/>
            <w:hideMark/>
          </w:tcPr>
          <w:p w:rsidR="00261842" w:rsidRPr="00C03E15" w:rsidRDefault="00261842">
            <w:pPr>
              <w:spacing w:line="240" w:lineRule="auto"/>
              <w:rPr>
                <w:sz w:val="20"/>
                <w:szCs w:val="24"/>
                <w:lang w:val="sr-Latn-RS"/>
              </w:rPr>
            </w:pPr>
          </w:p>
        </w:tc>
        <w:tc>
          <w:tcPr>
            <w:tcW w:w="2232" w:type="dxa"/>
            <w:gridSpan w:val="2"/>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r w:rsidRPr="00C03E15">
              <w:rPr>
                <w:sz w:val="20"/>
                <w:szCs w:val="24"/>
                <w:lang w:val="sr-Latn-RS"/>
              </w:rPr>
              <w:t>2011</w:t>
            </w:r>
          </w:p>
        </w:tc>
        <w:tc>
          <w:tcPr>
            <w:tcW w:w="733" w:type="dxa"/>
            <w:gridSpan w:val="3"/>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p>
        </w:tc>
        <w:tc>
          <w:tcPr>
            <w:tcW w:w="2232" w:type="dxa"/>
            <w:gridSpan w:val="2"/>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r w:rsidRPr="00C03E15">
              <w:rPr>
                <w:sz w:val="20"/>
                <w:szCs w:val="24"/>
                <w:lang w:val="sr-Latn-RS"/>
              </w:rPr>
              <w:t>2012</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p>
        </w:tc>
        <w:tc>
          <w:tcPr>
            <w:tcW w:w="2232" w:type="dxa"/>
            <w:gridSpan w:val="3"/>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r w:rsidRPr="00C03E15">
              <w:rPr>
                <w:sz w:val="20"/>
                <w:szCs w:val="24"/>
                <w:lang w:val="sr-Latn-RS"/>
              </w:rPr>
              <w:t>2013</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center"/>
              <w:rPr>
                <w:sz w:val="20"/>
                <w:szCs w:val="24"/>
                <w:lang w:val="sr-Latn-RS"/>
              </w:rPr>
            </w:pPr>
          </w:p>
        </w:tc>
      </w:tr>
      <w:tr w:rsidR="00261842" w:rsidRPr="00C03E15">
        <w:trPr>
          <w:gridAfter w:val="3"/>
          <w:wAfter w:w="5397" w:type="dxa"/>
          <w:trHeight w:val="77"/>
        </w:trPr>
        <w:tc>
          <w:tcPr>
            <w:tcW w:w="1621" w:type="dxa"/>
            <w:gridSpan w:val="2"/>
            <w:tcBorders>
              <w:top w:val="single" w:sz="4" w:space="0" w:color="auto"/>
              <w:left w:val="nil"/>
              <w:bottom w:val="nil"/>
              <w:right w:val="single" w:sz="4" w:space="0" w:color="auto"/>
            </w:tcBorders>
            <w:noWrap/>
            <w:vAlign w:val="bottom"/>
            <w:hideMark/>
          </w:tcPr>
          <w:p w:rsidR="00261842" w:rsidRPr="00C03E15" w:rsidRDefault="00261842">
            <w:pPr>
              <w:spacing w:line="240" w:lineRule="auto"/>
              <w:rPr>
                <w:sz w:val="20"/>
                <w:szCs w:val="24"/>
                <w:lang w:val="sr-Latn-RS"/>
              </w:rPr>
            </w:pPr>
          </w:p>
        </w:tc>
        <w:tc>
          <w:tcPr>
            <w:tcW w:w="1194" w:type="dxa"/>
            <w:tcBorders>
              <w:top w:val="single" w:sz="4" w:space="0" w:color="auto"/>
              <w:left w:val="single" w:sz="4" w:space="0" w:color="auto"/>
              <w:bottom w:val="single" w:sz="4" w:space="0" w:color="auto"/>
              <w:right w:val="nil"/>
            </w:tcBorders>
            <w:noWrap/>
            <w:vAlign w:val="bottom"/>
            <w:hideMark/>
          </w:tcPr>
          <w:p w:rsidR="00261842" w:rsidRPr="00C03E15" w:rsidRDefault="00261842">
            <w:pPr>
              <w:spacing w:line="240" w:lineRule="auto"/>
              <w:rPr>
                <w:szCs w:val="24"/>
                <w:lang w:val="sr-Latn-RS"/>
              </w:rPr>
            </w:pPr>
            <w:r w:rsidRPr="00C03E15">
              <w:rPr>
                <w:sz w:val="20"/>
                <w:szCs w:val="24"/>
                <w:lang w:val="sr-Latn-RS"/>
              </w:rPr>
              <w:t>Budžetirano</w:t>
            </w:r>
          </w:p>
        </w:tc>
        <w:tc>
          <w:tcPr>
            <w:tcW w:w="1038" w:type="dxa"/>
            <w:tcBorders>
              <w:top w:val="single" w:sz="4" w:space="0" w:color="auto"/>
              <w:left w:val="nil"/>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Ostvareno</w:t>
            </w:r>
          </w:p>
        </w:tc>
        <w:tc>
          <w:tcPr>
            <w:tcW w:w="733" w:type="dxa"/>
            <w:gridSpan w:val="3"/>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proofErr w:type="spellStart"/>
            <w:r w:rsidRPr="00C03E15">
              <w:rPr>
                <w:sz w:val="20"/>
                <w:szCs w:val="24"/>
                <w:lang w:val="sr-Latn-RS"/>
              </w:rPr>
              <w:t>Raz</w:t>
            </w:r>
            <w:proofErr w:type="spellEnd"/>
          </w:p>
        </w:tc>
        <w:tc>
          <w:tcPr>
            <w:tcW w:w="1194" w:type="dxa"/>
            <w:tcBorders>
              <w:top w:val="single" w:sz="4" w:space="0" w:color="auto"/>
              <w:left w:val="single" w:sz="4" w:space="0" w:color="auto"/>
              <w:bottom w:val="single" w:sz="4" w:space="0" w:color="auto"/>
              <w:right w:val="nil"/>
            </w:tcBorders>
            <w:noWrap/>
            <w:vAlign w:val="bottom"/>
            <w:hideMark/>
          </w:tcPr>
          <w:p w:rsidR="00261842" w:rsidRPr="00C03E15" w:rsidRDefault="00261842">
            <w:pPr>
              <w:spacing w:line="240" w:lineRule="auto"/>
              <w:rPr>
                <w:szCs w:val="24"/>
                <w:lang w:val="sr-Latn-RS"/>
              </w:rPr>
            </w:pPr>
            <w:r w:rsidRPr="00C03E15">
              <w:rPr>
                <w:sz w:val="20"/>
                <w:szCs w:val="24"/>
                <w:lang w:val="sr-Latn-RS"/>
              </w:rPr>
              <w:t>Budžetirano</w:t>
            </w:r>
          </w:p>
        </w:tc>
        <w:tc>
          <w:tcPr>
            <w:tcW w:w="1038" w:type="dxa"/>
            <w:tcBorders>
              <w:top w:val="single" w:sz="4" w:space="0" w:color="auto"/>
              <w:left w:val="nil"/>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Ostvareno</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proofErr w:type="spellStart"/>
            <w:r w:rsidRPr="00C03E15">
              <w:rPr>
                <w:sz w:val="20"/>
                <w:szCs w:val="24"/>
                <w:lang w:val="sr-Latn-RS"/>
              </w:rPr>
              <w:t>Raz</w:t>
            </w:r>
            <w:proofErr w:type="spellEnd"/>
          </w:p>
        </w:tc>
        <w:tc>
          <w:tcPr>
            <w:tcW w:w="1194" w:type="dxa"/>
            <w:tcBorders>
              <w:top w:val="single" w:sz="4" w:space="0" w:color="auto"/>
              <w:left w:val="single" w:sz="4" w:space="0" w:color="auto"/>
              <w:bottom w:val="single" w:sz="4" w:space="0" w:color="auto"/>
              <w:right w:val="nil"/>
            </w:tcBorders>
            <w:noWrap/>
            <w:vAlign w:val="bottom"/>
            <w:hideMark/>
          </w:tcPr>
          <w:p w:rsidR="00261842" w:rsidRPr="00C03E15" w:rsidRDefault="00261842">
            <w:pPr>
              <w:spacing w:line="240" w:lineRule="auto"/>
              <w:rPr>
                <w:szCs w:val="24"/>
                <w:lang w:val="sr-Latn-RS"/>
              </w:rPr>
            </w:pPr>
            <w:r w:rsidRPr="00C03E15">
              <w:rPr>
                <w:sz w:val="20"/>
                <w:szCs w:val="24"/>
                <w:lang w:val="sr-Latn-RS"/>
              </w:rPr>
              <w:t>Budžetirano</w:t>
            </w:r>
          </w:p>
        </w:tc>
        <w:tc>
          <w:tcPr>
            <w:tcW w:w="1038" w:type="dxa"/>
            <w:gridSpan w:val="2"/>
            <w:tcBorders>
              <w:top w:val="single" w:sz="4" w:space="0" w:color="auto"/>
              <w:left w:val="nil"/>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Ostvareno</w:t>
            </w:r>
          </w:p>
        </w:tc>
        <w:tc>
          <w:tcPr>
            <w:tcW w:w="733" w:type="dxa"/>
            <w:tcBorders>
              <w:top w:val="single" w:sz="4" w:space="0" w:color="auto"/>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proofErr w:type="spellStart"/>
            <w:r w:rsidRPr="00C03E15">
              <w:rPr>
                <w:sz w:val="20"/>
                <w:szCs w:val="24"/>
                <w:lang w:val="sr-Latn-RS"/>
              </w:rPr>
              <w:t>Raz</w:t>
            </w:r>
            <w:proofErr w:type="spellEnd"/>
          </w:p>
        </w:tc>
      </w:tr>
      <w:tr w:rsidR="00261842" w:rsidRPr="00C03E15">
        <w:trPr>
          <w:gridAfter w:val="3"/>
          <w:wAfter w:w="5397" w:type="dxa"/>
          <w:trHeight w:val="255"/>
        </w:trPr>
        <w:tc>
          <w:tcPr>
            <w:tcW w:w="1621" w:type="dxa"/>
            <w:gridSpan w:val="2"/>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 xml:space="preserve">Porez na </w:t>
            </w:r>
            <w:proofErr w:type="spellStart"/>
            <w:r w:rsidRPr="00C03E15">
              <w:rPr>
                <w:sz w:val="20"/>
                <w:szCs w:val="24"/>
                <w:lang w:val="sr-Latn-RS"/>
              </w:rPr>
              <w:t>imov</w:t>
            </w:r>
            <w:proofErr w:type="spellEnd"/>
            <w:r w:rsidRPr="00C03E15">
              <w:rPr>
                <w:sz w:val="20"/>
                <w:szCs w:val="24"/>
                <w:lang w:val="sr-Latn-RS"/>
              </w:rPr>
              <w:t>.</w:t>
            </w:r>
          </w:p>
        </w:tc>
        <w:tc>
          <w:tcPr>
            <w:tcW w:w="1194" w:type="dxa"/>
            <w:tcBorders>
              <w:top w:val="single" w:sz="4" w:space="0" w:color="auto"/>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16460</w:t>
            </w:r>
          </w:p>
        </w:tc>
        <w:tc>
          <w:tcPr>
            <w:tcW w:w="1038" w:type="dxa"/>
            <w:tcBorders>
              <w:top w:val="single" w:sz="4" w:space="0" w:color="auto"/>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9066</w:t>
            </w:r>
          </w:p>
        </w:tc>
        <w:tc>
          <w:tcPr>
            <w:tcW w:w="733" w:type="dxa"/>
            <w:gridSpan w:val="3"/>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single" w:sz="4" w:space="0" w:color="auto"/>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17750</w:t>
            </w:r>
          </w:p>
        </w:tc>
        <w:tc>
          <w:tcPr>
            <w:tcW w:w="1038" w:type="dxa"/>
            <w:tcBorders>
              <w:top w:val="single" w:sz="4" w:space="0" w:color="auto"/>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11869</w:t>
            </w:r>
          </w:p>
        </w:tc>
        <w:tc>
          <w:tcPr>
            <w:tcW w:w="733"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single" w:sz="4" w:space="0" w:color="auto"/>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16300</w:t>
            </w:r>
          </w:p>
        </w:tc>
        <w:tc>
          <w:tcPr>
            <w:tcW w:w="1038" w:type="dxa"/>
            <w:gridSpan w:val="2"/>
            <w:tcBorders>
              <w:top w:val="single" w:sz="4" w:space="0" w:color="auto"/>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10145</w:t>
            </w:r>
          </w:p>
        </w:tc>
        <w:tc>
          <w:tcPr>
            <w:tcW w:w="733"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r>
      <w:tr w:rsidR="00261842" w:rsidRPr="00C03E15">
        <w:trPr>
          <w:gridAfter w:val="3"/>
          <w:wAfter w:w="5397" w:type="dxa"/>
          <w:trHeight w:val="255"/>
        </w:trPr>
        <w:tc>
          <w:tcPr>
            <w:tcW w:w="1621"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Takse</w:t>
            </w: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9784</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7357</w:t>
            </w:r>
          </w:p>
        </w:tc>
        <w:tc>
          <w:tcPr>
            <w:tcW w:w="733" w:type="dxa"/>
            <w:gridSpan w:val="3"/>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7100</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6222</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6370</w:t>
            </w:r>
          </w:p>
        </w:tc>
        <w:tc>
          <w:tcPr>
            <w:tcW w:w="1038" w:type="dxa"/>
            <w:gridSpan w:val="2"/>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5156</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r>
      <w:tr w:rsidR="00261842" w:rsidRPr="00C03E15">
        <w:trPr>
          <w:gridAfter w:val="3"/>
          <w:wAfter w:w="5397" w:type="dxa"/>
          <w:trHeight w:val="255"/>
        </w:trPr>
        <w:tc>
          <w:tcPr>
            <w:tcW w:w="1621"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proofErr w:type="spellStart"/>
            <w:r w:rsidRPr="00C03E15">
              <w:rPr>
                <w:sz w:val="20"/>
                <w:szCs w:val="24"/>
                <w:lang w:val="sr-Latn-RS"/>
              </w:rPr>
              <w:t>Prod</w:t>
            </w:r>
            <w:proofErr w:type="spellEnd"/>
            <w:r w:rsidRPr="00C03E15">
              <w:rPr>
                <w:sz w:val="20"/>
                <w:szCs w:val="24"/>
                <w:lang w:val="sr-Latn-RS"/>
              </w:rPr>
              <w:t xml:space="preserve"> dobara i </w:t>
            </w:r>
            <w:proofErr w:type="spellStart"/>
            <w:r w:rsidRPr="00C03E15">
              <w:rPr>
                <w:sz w:val="20"/>
                <w:szCs w:val="24"/>
                <w:lang w:val="sr-Latn-RS"/>
              </w:rPr>
              <w:t>usl</w:t>
            </w:r>
            <w:proofErr w:type="spellEnd"/>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2250</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1009</w:t>
            </w:r>
          </w:p>
        </w:tc>
        <w:tc>
          <w:tcPr>
            <w:tcW w:w="733" w:type="dxa"/>
            <w:gridSpan w:val="3"/>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1122</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8846</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882</w:t>
            </w:r>
          </w:p>
        </w:tc>
        <w:tc>
          <w:tcPr>
            <w:tcW w:w="1038" w:type="dxa"/>
            <w:gridSpan w:val="2"/>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9398</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r>
      <w:tr w:rsidR="00261842" w:rsidRPr="00C03E15">
        <w:trPr>
          <w:gridAfter w:val="3"/>
          <w:wAfter w:w="5397" w:type="dxa"/>
          <w:trHeight w:val="255"/>
        </w:trPr>
        <w:tc>
          <w:tcPr>
            <w:tcW w:w="1621"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Kazne</w:t>
            </w: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3900</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1976</w:t>
            </w:r>
          </w:p>
        </w:tc>
        <w:tc>
          <w:tcPr>
            <w:tcW w:w="733" w:type="dxa"/>
            <w:gridSpan w:val="3"/>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2100</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1834</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2550</w:t>
            </w:r>
          </w:p>
        </w:tc>
        <w:tc>
          <w:tcPr>
            <w:tcW w:w="1038" w:type="dxa"/>
            <w:gridSpan w:val="2"/>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1957</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r>
      <w:tr w:rsidR="00261842" w:rsidRPr="00C03E15">
        <w:trPr>
          <w:gridAfter w:val="3"/>
          <w:wAfter w:w="5397" w:type="dxa"/>
          <w:trHeight w:val="255"/>
        </w:trPr>
        <w:tc>
          <w:tcPr>
            <w:tcW w:w="1621"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Ostalo</w:t>
            </w: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9500</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5948</w:t>
            </w:r>
          </w:p>
        </w:tc>
        <w:tc>
          <w:tcPr>
            <w:tcW w:w="733" w:type="dxa"/>
            <w:gridSpan w:val="3"/>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4500</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3349</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4600</w:t>
            </w:r>
          </w:p>
        </w:tc>
        <w:tc>
          <w:tcPr>
            <w:tcW w:w="1038" w:type="dxa"/>
            <w:gridSpan w:val="2"/>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3048</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r>
      <w:tr w:rsidR="00261842" w:rsidRPr="00C03E15">
        <w:trPr>
          <w:gridAfter w:val="3"/>
          <w:wAfter w:w="5397" w:type="dxa"/>
          <w:trHeight w:val="255"/>
        </w:trPr>
        <w:tc>
          <w:tcPr>
            <w:tcW w:w="1621"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Refundiranje</w:t>
            </w: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730</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1802</w:t>
            </w:r>
          </w:p>
        </w:tc>
        <w:tc>
          <w:tcPr>
            <w:tcW w:w="733" w:type="dxa"/>
            <w:gridSpan w:val="3"/>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154</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174</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1364</w:t>
            </w:r>
          </w:p>
        </w:tc>
        <w:tc>
          <w:tcPr>
            <w:tcW w:w="1038" w:type="dxa"/>
            <w:gridSpan w:val="2"/>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2311</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r>
      <w:tr w:rsidR="00261842" w:rsidRPr="00C03E15">
        <w:trPr>
          <w:gridAfter w:val="3"/>
          <w:wAfter w:w="5397" w:type="dxa"/>
          <w:trHeight w:val="255"/>
        </w:trPr>
        <w:tc>
          <w:tcPr>
            <w:tcW w:w="1621"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Prodaja imovine</w:t>
            </w: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30</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9</w:t>
            </w:r>
          </w:p>
        </w:tc>
        <w:tc>
          <w:tcPr>
            <w:tcW w:w="733" w:type="dxa"/>
            <w:gridSpan w:val="3"/>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180</w:t>
            </w:r>
          </w:p>
        </w:tc>
        <w:tc>
          <w:tcPr>
            <w:tcW w:w="1038" w:type="dxa"/>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172</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c>
          <w:tcPr>
            <w:tcW w:w="1194" w:type="dxa"/>
            <w:tcBorders>
              <w:top w:val="nil"/>
              <w:left w:val="single" w:sz="4" w:space="0" w:color="auto"/>
              <w:bottom w:val="nil"/>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11</w:t>
            </w:r>
          </w:p>
        </w:tc>
        <w:tc>
          <w:tcPr>
            <w:tcW w:w="1038" w:type="dxa"/>
            <w:gridSpan w:val="2"/>
            <w:tcBorders>
              <w:top w:val="nil"/>
              <w:left w:val="nil"/>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11</w:t>
            </w:r>
          </w:p>
        </w:tc>
        <w:tc>
          <w:tcPr>
            <w:tcW w:w="733"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jc w:val="right"/>
              <w:rPr>
                <w:sz w:val="20"/>
                <w:szCs w:val="24"/>
                <w:lang w:val="sr-Latn-RS"/>
              </w:rPr>
            </w:pPr>
          </w:p>
        </w:tc>
      </w:tr>
      <w:tr w:rsidR="00261842" w:rsidRPr="00C03E15">
        <w:trPr>
          <w:gridAfter w:val="3"/>
          <w:wAfter w:w="5397" w:type="dxa"/>
          <w:trHeight w:val="255"/>
        </w:trPr>
        <w:tc>
          <w:tcPr>
            <w:tcW w:w="1621" w:type="dxa"/>
            <w:gridSpan w:val="2"/>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C03E15">
              <w:rPr>
                <w:sz w:val="20"/>
                <w:szCs w:val="24"/>
                <w:lang w:val="sr-Latn-RS"/>
              </w:rPr>
              <w:t>Ukupno</w:t>
            </w:r>
          </w:p>
        </w:tc>
        <w:tc>
          <w:tcPr>
            <w:tcW w:w="1194" w:type="dxa"/>
            <w:tcBorders>
              <w:top w:val="nil"/>
              <w:left w:val="single" w:sz="4" w:space="0" w:color="auto"/>
              <w:bottom w:val="single" w:sz="4" w:space="0" w:color="auto"/>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42654</w:t>
            </w:r>
          </w:p>
        </w:tc>
        <w:tc>
          <w:tcPr>
            <w:tcW w:w="1038" w:type="dxa"/>
            <w:tcBorders>
              <w:top w:val="nil"/>
              <w:left w:val="nil"/>
              <w:bottom w:val="single" w:sz="4" w:space="0" w:color="auto"/>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27167</w:t>
            </w:r>
          </w:p>
        </w:tc>
        <w:tc>
          <w:tcPr>
            <w:tcW w:w="733" w:type="dxa"/>
            <w:gridSpan w:val="3"/>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63.7%</w:t>
            </w:r>
          </w:p>
        </w:tc>
        <w:tc>
          <w:tcPr>
            <w:tcW w:w="1194" w:type="dxa"/>
            <w:tcBorders>
              <w:top w:val="nil"/>
              <w:left w:val="single" w:sz="4" w:space="0" w:color="auto"/>
              <w:bottom w:val="single" w:sz="4" w:space="0" w:color="auto"/>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32906</w:t>
            </w:r>
          </w:p>
        </w:tc>
        <w:tc>
          <w:tcPr>
            <w:tcW w:w="1038" w:type="dxa"/>
            <w:tcBorders>
              <w:top w:val="nil"/>
              <w:left w:val="nil"/>
              <w:bottom w:val="single" w:sz="4" w:space="0" w:color="auto"/>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32466</w:t>
            </w:r>
          </w:p>
        </w:tc>
        <w:tc>
          <w:tcPr>
            <w:tcW w:w="733" w:type="dxa"/>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98.7%</w:t>
            </w:r>
          </w:p>
        </w:tc>
        <w:tc>
          <w:tcPr>
            <w:tcW w:w="1194" w:type="dxa"/>
            <w:tcBorders>
              <w:top w:val="nil"/>
              <w:left w:val="single" w:sz="4" w:space="0" w:color="auto"/>
              <w:bottom w:val="single" w:sz="4" w:space="0" w:color="auto"/>
              <w:right w:val="nil"/>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32077</w:t>
            </w:r>
          </w:p>
        </w:tc>
        <w:tc>
          <w:tcPr>
            <w:tcW w:w="1038" w:type="dxa"/>
            <w:gridSpan w:val="2"/>
            <w:tcBorders>
              <w:top w:val="nil"/>
              <w:left w:val="nil"/>
              <w:bottom w:val="single" w:sz="4" w:space="0" w:color="auto"/>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32026</w:t>
            </w:r>
          </w:p>
        </w:tc>
        <w:tc>
          <w:tcPr>
            <w:tcW w:w="733" w:type="dxa"/>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right"/>
              <w:rPr>
                <w:sz w:val="20"/>
                <w:szCs w:val="24"/>
                <w:lang w:val="sr-Latn-RS"/>
              </w:rPr>
            </w:pPr>
            <w:r w:rsidRPr="00C03E15">
              <w:rPr>
                <w:sz w:val="20"/>
                <w:szCs w:val="24"/>
                <w:lang w:val="sr-Latn-RS"/>
              </w:rPr>
              <w:t>99.8%</w:t>
            </w:r>
          </w:p>
        </w:tc>
      </w:tr>
    </w:tbl>
    <w:p w:rsidR="00261842" w:rsidRPr="001E4CDF" w:rsidRDefault="00261842" w:rsidP="00F76155">
      <w:pPr>
        <w:pStyle w:val="ParagraphNumbering"/>
        <w:numPr>
          <w:ilvl w:val="0"/>
          <w:numId w:val="0"/>
        </w:numPr>
        <w:spacing w:before="240" w:line="260" w:lineRule="auto"/>
        <w:jc w:val="both"/>
        <w:rPr>
          <w:lang w:val="sr-Latn-RS"/>
        </w:rPr>
      </w:pPr>
      <w:r w:rsidRPr="001E4CDF">
        <w:rPr>
          <w:lang w:val="sr-Latn-RS"/>
        </w:rPr>
        <w:t xml:space="preserve">Sopstveni izvori opštinskih prihoda su mali u poređenju sa transferima od republičke Vlade (videti HGL-1).  Porez na imovinu je glavni poreski prihod dok su takse, naknade i kazne i prodaja dobara i usluga izdašniji izvori prihoda, ali ih je teže predvideti jer više zavise od postupaka pojedinaca nego od ekonomskih uslova.  Struktura sopstvenih izvora prihoda slična je kod svih lokalnih vlasti širom sveta. </w:t>
      </w:r>
    </w:p>
    <w:p w:rsidR="00261842" w:rsidRPr="001E4CDF" w:rsidRDefault="00261842">
      <w:pPr>
        <w:pStyle w:val="ParagraphNumbering"/>
        <w:numPr>
          <w:ilvl w:val="0"/>
          <w:numId w:val="0"/>
        </w:numPr>
        <w:spacing w:line="260" w:lineRule="auto"/>
        <w:rPr>
          <w:lang w:val="sr-Latn-RS"/>
        </w:rPr>
      </w:pPr>
      <w:r w:rsidRPr="001E4CDF">
        <w:rPr>
          <w:lang w:val="sr-Latn-RS"/>
        </w:rPr>
        <w:t>Ocena A</w:t>
      </w:r>
    </w:p>
    <w:p w:rsidR="00261842" w:rsidRPr="001E4CDF" w:rsidRDefault="00261842">
      <w:pPr>
        <w:spacing w:line="260" w:lineRule="auto"/>
        <w:rPr>
          <w:b/>
          <w:szCs w:val="24"/>
          <w:lang w:val="sr-Latn-RS"/>
        </w:rPr>
      </w:pPr>
      <w:r w:rsidRPr="00B04D0E">
        <w:rPr>
          <w:b/>
          <w:color w:val="000000"/>
          <w:szCs w:val="24"/>
          <w:lang w:val="sr-Latn-RS"/>
        </w:rPr>
        <w:t>PU-</w:t>
      </w:r>
      <w:r w:rsidRPr="00B04D0E">
        <w:rPr>
          <w:b/>
          <w:szCs w:val="24"/>
          <w:lang w:val="sr-Latn-RS"/>
        </w:rPr>
        <w:t>4 Stan</w:t>
      </w:r>
      <w:r w:rsidRPr="001E4CDF">
        <w:rPr>
          <w:b/>
          <w:szCs w:val="24"/>
          <w:lang w:val="sr-Latn-RS"/>
        </w:rPr>
        <w:t>je i praćenje docnji</w:t>
      </w:r>
    </w:p>
    <w:p w:rsidR="00261842" w:rsidRPr="001E4CDF" w:rsidRDefault="00261842">
      <w:pPr>
        <w:rPr>
          <w:szCs w:val="24"/>
          <w:lang w:val="sr-Latn-RS"/>
        </w:rPr>
      </w:pPr>
    </w:p>
    <w:tbl>
      <w:tblPr>
        <w:tblW w:w="8931" w:type="dxa"/>
        <w:tblInd w:w="5" w:type="dxa"/>
        <w:tblLayout w:type="fixed"/>
        <w:tblCellMar>
          <w:left w:w="0" w:type="dxa"/>
          <w:right w:w="0" w:type="dxa"/>
        </w:tblCellMar>
        <w:tblLook w:val="04A0" w:firstRow="1" w:lastRow="0" w:firstColumn="1" w:lastColumn="0" w:noHBand="0" w:noVBand="1"/>
      </w:tblPr>
      <w:tblGrid>
        <w:gridCol w:w="2977"/>
        <w:gridCol w:w="992"/>
        <w:gridCol w:w="4962"/>
      </w:tblGrid>
      <w:tr w:rsidR="00261842" w:rsidRPr="00025057">
        <w:trPr>
          <w:trHeight w:val="252"/>
        </w:trPr>
        <w:tc>
          <w:tcPr>
            <w:tcW w:w="2977" w:type="dxa"/>
            <w:tcBorders>
              <w:top w:val="single" w:sz="4" w:space="0" w:color="auto"/>
              <w:left w:val="single" w:sz="4" w:space="0" w:color="auto"/>
              <w:bottom w:val="single" w:sz="4" w:space="0" w:color="auto"/>
              <w:right w:val="single" w:sz="4" w:space="0" w:color="auto"/>
            </w:tcBorders>
            <w:shd w:val="clear" w:color="auto" w:fill="D2EFFF"/>
            <w:vAlign w:val="center"/>
          </w:tcPr>
          <w:p w:rsidR="00261842" w:rsidRPr="00C03E15" w:rsidRDefault="00261842">
            <w:pPr>
              <w:spacing w:line="240" w:lineRule="auto"/>
              <w:rPr>
                <w:sz w:val="20"/>
                <w:szCs w:val="24"/>
                <w:lang w:val="sr-Latn-RS"/>
              </w:rPr>
            </w:pPr>
          </w:p>
        </w:tc>
        <w:tc>
          <w:tcPr>
            <w:tcW w:w="5954" w:type="dxa"/>
            <w:gridSpan w:val="2"/>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rPr>
                <w:szCs w:val="24"/>
                <w:lang w:val="sr-Latn-RS"/>
              </w:rPr>
            </w:pPr>
            <w:r w:rsidRPr="00C03E15">
              <w:rPr>
                <w:color w:val="000000"/>
                <w:sz w:val="20"/>
                <w:szCs w:val="24"/>
                <w:lang w:val="sr-Latn-RS"/>
              </w:rPr>
              <w:t>Minimalni uslovi (Metod za ocenjivanje M1)</w:t>
            </w:r>
          </w:p>
        </w:tc>
      </w:tr>
      <w:tr w:rsidR="00261842" w:rsidRPr="00C03E15">
        <w:tblPrEx>
          <w:tblCellMar>
            <w:left w:w="108" w:type="dxa"/>
            <w:right w:w="108" w:type="dxa"/>
          </w:tblCellMar>
          <w:tblLook w:val="0000" w:firstRow="0" w:lastRow="0" w:firstColumn="0" w:lastColumn="0" w:noHBand="0" w:noVBand="0"/>
        </w:tblPrEx>
        <w:trPr>
          <w:trHeight w:val="252"/>
        </w:trPr>
        <w:tc>
          <w:tcPr>
            <w:tcW w:w="2977" w:type="dxa"/>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rPr>
                <w:sz w:val="20"/>
                <w:szCs w:val="24"/>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rPr>
                <w:sz w:val="20"/>
                <w:szCs w:val="24"/>
                <w:lang w:val="sr-Latn-RS"/>
              </w:rPr>
            </w:pPr>
            <w:r w:rsidRPr="00C03E15">
              <w:rPr>
                <w:sz w:val="20"/>
                <w:szCs w:val="24"/>
                <w:lang w:val="sr-Latn-RS"/>
              </w:rPr>
              <w:t>2014</w:t>
            </w:r>
          </w:p>
        </w:tc>
        <w:tc>
          <w:tcPr>
            <w:tcW w:w="4962" w:type="dxa"/>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60" w:lineRule="auto"/>
              <w:rPr>
                <w:szCs w:val="24"/>
                <w:lang w:val="sr-Latn-RS"/>
              </w:rPr>
            </w:pPr>
            <w:r w:rsidRPr="00C03E15">
              <w:rPr>
                <w:sz w:val="20"/>
                <w:szCs w:val="24"/>
                <w:lang w:val="sr-Latn-RS"/>
              </w:rPr>
              <w:t>Objašnjenje</w:t>
            </w:r>
          </w:p>
        </w:tc>
      </w:tr>
      <w:tr w:rsidR="00261842" w:rsidRPr="00C03E15">
        <w:tblPrEx>
          <w:tblCellMar>
            <w:left w:w="108" w:type="dxa"/>
            <w:right w:w="108" w:type="dxa"/>
          </w:tblCellMar>
          <w:tblLook w:val="0000" w:firstRow="0" w:lastRow="0" w:firstColumn="0" w:lastColumn="0" w:noHBand="0" w:noVBand="0"/>
        </w:tblPrEx>
        <w:trPr>
          <w:trHeight w:val="252"/>
        </w:trPr>
        <w:tc>
          <w:tcPr>
            <w:tcW w:w="2977" w:type="dxa"/>
            <w:tcBorders>
              <w:top w:val="single" w:sz="4" w:space="0" w:color="auto"/>
              <w:left w:val="single" w:sz="8" w:space="0" w:color="000000"/>
            </w:tcBorders>
          </w:tcPr>
          <w:p w:rsidR="00261842" w:rsidRPr="00C03E15" w:rsidRDefault="00261842">
            <w:pPr>
              <w:spacing w:line="260" w:lineRule="auto"/>
              <w:rPr>
                <w:b/>
                <w:sz w:val="20"/>
                <w:szCs w:val="24"/>
                <w:lang w:val="sr-Latn-RS"/>
              </w:rPr>
            </w:pPr>
            <w:r w:rsidRPr="00C03E15">
              <w:rPr>
                <w:b/>
                <w:color w:val="000000"/>
                <w:sz w:val="20"/>
                <w:szCs w:val="24"/>
                <w:lang w:val="sr-Latn-RS"/>
              </w:rPr>
              <w:t>PU-</w:t>
            </w:r>
            <w:r w:rsidRPr="00C03E15">
              <w:rPr>
                <w:b/>
                <w:sz w:val="20"/>
                <w:szCs w:val="24"/>
                <w:lang w:val="sr-Latn-RS"/>
              </w:rPr>
              <w:t>4 Stanje i praćenje docnji</w:t>
            </w:r>
          </w:p>
          <w:p w:rsidR="00261842" w:rsidRPr="00C03E15" w:rsidRDefault="00261842">
            <w:pPr>
              <w:rPr>
                <w:b/>
                <w:sz w:val="20"/>
                <w:szCs w:val="24"/>
                <w:lang w:val="sr-Latn-RS"/>
              </w:rPr>
            </w:pPr>
          </w:p>
        </w:tc>
        <w:tc>
          <w:tcPr>
            <w:tcW w:w="992" w:type="dxa"/>
            <w:tcBorders>
              <w:top w:val="single" w:sz="4" w:space="0" w:color="auto"/>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b/>
                <w:sz w:val="20"/>
                <w:szCs w:val="24"/>
                <w:lang w:val="sr-Latn-RS"/>
              </w:rPr>
              <w:t>Ocena</w:t>
            </w:r>
          </w:p>
        </w:tc>
        <w:tc>
          <w:tcPr>
            <w:tcW w:w="4962" w:type="dxa"/>
            <w:tcBorders>
              <w:top w:val="single" w:sz="4" w:space="0" w:color="auto"/>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025057">
        <w:tblPrEx>
          <w:tblCellMar>
            <w:left w:w="108" w:type="dxa"/>
            <w:right w:w="108" w:type="dxa"/>
          </w:tblCellMar>
          <w:tblLook w:val="0000" w:firstRow="0" w:lastRow="0" w:firstColumn="0" w:lastColumn="0" w:noHBand="0" w:noVBand="0"/>
        </w:tblPrEx>
        <w:trPr>
          <w:trHeight w:val="252"/>
        </w:trPr>
        <w:tc>
          <w:tcPr>
            <w:tcW w:w="2977" w:type="dxa"/>
            <w:tcBorders>
              <w:top w:val="single" w:sz="8" w:space="0" w:color="000000"/>
              <w:left w:val="single" w:sz="8" w:space="0" w:color="000000"/>
            </w:tcBorders>
          </w:tcPr>
          <w:p w:rsidR="00261842" w:rsidRPr="00C03E15" w:rsidRDefault="00261842">
            <w:pPr>
              <w:spacing w:line="260" w:lineRule="auto"/>
              <w:rPr>
                <w:sz w:val="20"/>
                <w:szCs w:val="24"/>
                <w:lang w:val="sr-Latn-RS"/>
              </w:rPr>
            </w:pPr>
            <w:r w:rsidRPr="00C03E15">
              <w:rPr>
                <w:sz w:val="20"/>
                <w:szCs w:val="24"/>
                <w:lang w:val="sr-Latn-RS"/>
              </w:rPr>
              <w:t>(i) Stanje docnji (kao procenat od ukupno izvršenih rashoda za odgovarajuću fiskalnu godinu) i sve nedavne promene</w:t>
            </w:r>
          </w:p>
          <w:p w:rsidR="00261842" w:rsidRPr="00C03E15" w:rsidRDefault="00261842">
            <w:pPr>
              <w:rPr>
                <w:sz w:val="20"/>
                <w:szCs w:val="24"/>
                <w:lang w:val="sr-Latn-RS"/>
              </w:rPr>
            </w:pP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sz w:val="20"/>
                <w:szCs w:val="24"/>
                <w:lang w:val="sr-Latn-RS"/>
              </w:rPr>
              <w:t xml:space="preserve">Stanje docnji je nisko (ispod 2% ukupnih troškova)  </w:t>
            </w:r>
          </w:p>
        </w:tc>
      </w:tr>
      <w:tr w:rsidR="00261842" w:rsidRPr="00025057">
        <w:tblPrEx>
          <w:tblCellMar>
            <w:left w:w="108" w:type="dxa"/>
            <w:right w:w="108" w:type="dxa"/>
          </w:tblCellMar>
          <w:tblLook w:val="0000" w:firstRow="0" w:lastRow="0" w:firstColumn="0" w:lastColumn="0" w:noHBand="0" w:noVBand="0"/>
        </w:tblPrEx>
        <w:trPr>
          <w:trHeight w:val="252"/>
        </w:trPr>
        <w:tc>
          <w:tcPr>
            <w:tcW w:w="2977" w:type="dxa"/>
            <w:tcBorders>
              <w:top w:val="single" w:sz="8" w:space="0" w:color="000000"/>
              <w:left w:val="single" w:sz="8" w:space="0" w:color="000000"/>
              <w:bottom w:val="single" w:sz="8" w:space="0" w:color="000000"/>
            </w:tcBorders>
          </w:tcPr>
          <w:p w:rsidR="00261842" w:rsidRPr="00C03E15" w:rsidRDefault="00261842">
            <w:pPr>
              <w:spacing w:line="26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Raspoloživost podataka za praćenje stanja docnji</w:t>
            </w: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sz w:val="20"/>
                <w:szCs w:val="24"/>
                <w:lang w:val="sr-Latn-RS"/>
              </w:rPr>
              <w:t>Pouzdani i kompletni podaci o stanju docnji obezbeđuju se redovnim procedurama i najmanje na kraju svake budžetske godine (i uključuju starosnu strukturu).</w:t>
            </w:r>
          </w:p>
        </w:tc>
      </w:tr>
    </w:tbl>
    <w:p w:rsidR="00261842" w:rsidRPr="001E4CDF" w:rsidRDefault="00261842">
      <w:pPr>
        <w:pStyle w:val="ParagraphNumbering"/>
        <w:numPr>
          <w:ilvl w:val="0"/>
          <w:numId w:val="0"/>
        </w:numPr>
        <w:tabs>
          <w:tab w:val="left" w:pos="915"/>
        </w:tabs>
        <w:jc w:val="both"/>
        <w:rPr>
          <w:b/>
          <w:lang w:val="sr-Latn-RS"/>
        </w:rPr>
      </w:pPr>
    </w:p>
    <w:p w:rsidR="00261842" w:rsidRPr="001E4CDF" w:rsidRDefault="00261842" w:rsidP="00F76155">
      <w:pPr>
        <w:pStyle w:val="ParagraphNumbering"/>
        <w:numPr>
          <w:ilvl w:val="0"/>
          <w:numId w:val="0"/>
        </w:numPr>
        <w:spacing w:line="260" w:lineRule="auto"/>
        <w:jc w:val="both"/>
        <w:rPr>
          <w:lang w:val="sr-Latn-RS"/>
        </w:rPr>
      </w:pPr>
      <w:r w:rsidRPr="001E4CDF">
        <w:rPr>
          <w:lang w:val="sr-Latn-RS"/>
        </w:rPr>
        <w:t xml:space="preserve">Ovaj indikator ocenjuje pouzdanost budžeta u odnosu na postojanje docnji. Procenjuje se kvalitet informacija i veličina evidentiranih docnji. Postojanje docnji ukazuje na slabosti u planiranju i izvršenju budžeta.  </w:t>
      </w:r>
    </w:p>
    <w:p w:rsidR="00261842" w:rsidRPr="001E4CDF" w:rsidRDefault="00261842">
      <w:pPr>
        <w:pStyle w:val="ParagraphNumbering"/>
        <w:numPr>
          <w:ilvl w:val="0"/>
          <w:numId w:val="0"/>
        </w:numPr>
        <w:tabs>
          <w:tab w:val="left" w:pos="915"/>
        </w:tabs>
        <w:spacing w:line="260" w:lineRule="auto"/>
        <w:jc w:val="both"/>
        <w:rPr>
          <w:b/>
          <w:lang w:val="sr-Latn-RS"/>
        </w:rPr>
      </w:pPr>
      <w:r w:rsidRPr="001E4CDF">
        <w:rPr>
          <w:b/>
          <w:lang w:val="sr-Latn-RS"/>
        </w:rPr>
        <w:lastRenderedPageBreak/>
        <w:t>(i) Stanje docnji (kao procenat od ukupno izvršenih rashoda za odgovarajuću fiskalnu godinu) i sve nedavne promene</w:t>
      </w:r>
    </w:p>
    <w:p w:rsidR="00261842" w:rsidRPr="001E4CDF" w:rsidRDefault="007C13B0">
      <w:pPr>
        <w:pStyle w:val="ParagraphNumbering"/>
        <w:numPr>
          <w:ilvl w:val="0"/>
          <w:numId w:val="0"/>
        </w:numPr>
        <w:spacing w:line="260" w:lineRule="auto"/>
        <w:rPr>
          <w:lang w:val="sr-Latn-RS"/>
        </w:rPr>
      </w:pPr>
      <w:r>
        <w:rPr>
          <w:lang w:val="sr-Latn-RS"/>
        </w:rPr>
        <w:t>Ukupno s</w:t>
      </w:r>
      <w:r w:rsidRPr="001E4CDF">
        <w:rPr>
          <w:lang w:val="sr-Latn-RS"/>
        </w:rPr>
        <w:t xml:space="preserve">tanje </w:t>
      </w:r>
      <w:r w:rsidR="00261842" w:rsidRPr="001E4CDF">
        <w:rPr>
          <w:lang w:val="sr-Latn-RS"/>
        </w:rPr>
        <w:t xml:space="preserve">akumuliranih docnji </w:t>
      </w:r>
      <w:r>
        <w:rPr>
          <w:lang w:val="sr-Latn-RS"/>
        </w:rPr>
        <w:t xml:space="preserve">prema svim izvorima </w:t>
      </w:r>
      <w:r w:rsidR="00261842" w:rsidRPr="001E4CDF">
        <w:rPr>
          <w:lang w:val="sr-Latn-RS"/>
        </w:rPr>
        <w:t>na kraju 2012</w:t>
      </w:r>
      <w:r>
        <w:rPr>
          <w:lang w:val="sr-Latn-RS"/>
        </w:rPr>
        <w:t>.</w:t>
      </w:r>
      <w:r w:rsidR="00261842" w:rsidRPr="001E4CDF">
        <w:rPr>
          <w:lang w:val="sr-Latn-RS"/>
        </w:rPr>
        <w:t xml:space="preserve"> je bilo RSD 2,7 miliona (0,87% rashoda) i RSD 3,0 miliona (0,99% rashoda) na kraju 2013. godine. </w:t>
      </w:r>
    </w:p>
    <w:p w:rsidR="00261842" w:rsidRPr="001E4CDF" w:rsidRDefault="00261842">
      <w:pPr>
        <w:pStyle w:val="ParagraphNumbering"/>
        <w:numPr>
          <w:ilvl w:val="0"/>
          <w:numId w:val="0"/>
        </w:numPr>
        <w:spacing w:line="260" w:lineRule="auto"/>
        <w:rPr>
          <w:lang w:val="sr-Latn-RS"/>
        </w:rPr>
      </w:pPr>
      <w:r w:rsidRPr="001E4CDF">
        <w:rPr>
          <w:lang w:val="sr-Latn-RS"/>
        </w:rPr>
        <w:t>Ocena A</w:t>
      </w:r>
    </w:p>
    <w:p w:rsidR="00261842" w:rsidRPr="001E4CDF" w:rsidRDefault="00261842">
      <w:pPr>
        <w:pStyle w:val="ParagraphNumbering"/>
        <w:numPr>
          <w:ilvl w:val="0"/>
          <w:numId w:val="0"/>
        </w:numPr>
        <w:spacing w:line="260" w:lineRule="auto"/>
        <w:jc w:val="both"/>
        <w:rPr>
          <w:b/>
          <w:color w:val="000000"/>
          <w:lang w:val="sr-Latn-RS"/>
        </w:rPr>
      </w:pPr>
      <w:r w:rsidRPr="001E4CDF">
        <w:rPr>
          <w:b/>
          <w:color w:val="000000"/>
          <w:lang w:val="sr-Latn-RS"/>
        </w:rPr>
        <w:t>(</w:t>
      </w:r>
      <w:proofErr w:type="spellStart"/>
      <w:r w:rsidRPr="001E4CDF">
        <w:rPr>
          <w:b/>
          <w:color w:val="000000"/>
          <w:lang w:val="sr-Latn-RS"/>
        </w:rPr>
        <w:t>ii</w:t>
      </w:r>
      <w:proofErr w:type="spellEnd"/>
      <w:r w:rsidRPr="001E4CDF">
        <w:rPr>
          <w:b/>
          <w:color w:val="000000"/>
          <w:lang w:val="sr-Latn-RS"/>
        </w:rPr>
        <w:t>) Raspoloživost podataka za praćenje stanja docnji</w:t>
      </w:r>
    </w:p>
    <w:p w:rsidR="00261842" w:rsidRPr="001E4CDF" w:rsidRDefault="007C13B0">
      <w:pPr>
        <w:pStyle w:val="ParagraphNumbering"/>
        <w:numPr>
          <w:ilvl w:val="0"/>
          <w:numId w:val="0"/>
        </w:numPr>
        <w:spacing w:line="260" w:lineRule="auto"/>
        <w:jc w:val="both"/>
        <w:rPr>
          <w:lang w:val="sr-Latn-RS"/>
        </w:rPr>
      </w:pPr>
      <w:r>
        <w:rPr>
          <w:lang w:val="sr-Latn-RS"/>
        </w:rPr>
        <w:t xml:space="preserve">Računovodstveni sistem koji koriste opštine isti je kao i aplikacije koje koristi privatni sektor, i on je u stanju da podrži potpuno obračunsko računovodstvo. Kao takav, on daje sve relevantne informacije o obavezama bilo koje vrste. </w:t>
      </w:r>
      <w:r w:rsidR="00261842" w:rsidRPr="001E4CDF">
        <w:rPr>
          <w:lang w:val="sr-Latn-RS"/>
        </w:rPr>
        <w:t xml:space="preserve">Računovodstveni sistem obuhvata datum fakture čime se </w:t>
      </w:r>
      <w:r>
        <w:rPr>
          <w:lang w:val="sr-Latn-RS"/>
        </w:rPr>
        <w:t xml:space="preserve">sve </w:t>
      </w:r>
      <w:r w:rsidR="00261842" w:rsidRPr="001E4CDF">
        <w:rPr>
          <w:lang w:val="sr-Latn-RS"/>
        </w:rPr>
        <w:t xml:space="preserve">docnje grupišu po </w:t>
      </w:r>
      <w:proofErr w:type="spellStart"/>
      <w:r w:rsidR="00261842" w:rsidRPr="001E4CDF">
        <w:rPr>
          <w:lang w:val="sr-Latn-RS"/>
        </w:rPr>
        <w:t>ročnosti</w:t>
      </w:r>
      <w:proofErr w:type="spellEnd"/>
      <w:r w:rsidR="00261842" w:rsidRPr="001E4CDF">
        <w:rPr>
          <w:lang w:val="sr-Latn-RS"/>
        </w:rPr>
        <w:t xml:space="preserve"> i prate i klasifikuju kao docnja ako se ne plate na vreme.  </w:t>
      </w:r>
    </w:p>
    <w:p w:rsidR="00261842" w:rsidRDefault="00261842">
      <w:pPr>
        <w:pStyle w:val="ParagraphNumbering"/>
        <w:numPr>
          <w:ilvl w:val="0"/>
          <w:numId w:val="0"/>
        </w:numPr>
        <w:spacing w:line="260" w:lineRule="auto"/>
        <w:jc w:val="both"/>
        <w:rPr>
          <w:lang w:val="sr-Latn-RS"/>
        </w:rPr>
      </w:pPr>
      <w:r w:rsidRPr="001E4CDF">
        <w:rPr>
          <w:lang w:val="sr-Latn-RS"/>
        </w:rPr>
        <w:t>Primenjuje se i dodatni sistem za finansijsku disciplinu na osnovu centralizovane aplikacije za registrovanje faktura koje dostavljaju kompanije iz privatnog sektora.   U skladu sa Zakonom o rokovima izmirenja novčanih obaveza u komercijalnim transakcijama(„Službeni glasnik RS“ broj 119/12), fakture koje nisu plaćene posle 45 dana su automatski označene i Ministarstvo finansija će obustaviti transfer određenih donacija i učešća u porezu na dohodak sve dok fakture ne budu plaćene</w:t>
      </w:r>
      <w:r w:rsidRPr="001E4CDF">
        <w:rPr>
          <w:rStyle w:val="FootnoteReference"/>
          <w:lang w:val="sr-Latn-RS"/>
        </w:rPr>
        <w:footnoteReference w:id="3"/>
      </w:r>
      <w:r w:rsidRPr="001E4CDF">
        <w:rPr>
          <w:lang w:val="sr-Latn-RS"/>
        </w:rPr>
        <w:t>.  Ministarstvo finansija na svojoj internet stranici objavljuje spisak opština kojima su obustavljeni transferi, u skladu sa Pravilnikom o načinu i postupku vršenja nadzora nad sprovođenjem Zakona o rokovima izmirenja novčanih obaveza u komercijalnim transakcijama između korisnika javnih sredstava i privrednih subjekata kada su korisnici javnih sredstava dužnici („Službeni glasnik RS“ broj 21/2013). Postoje inicijative da se proširi obuhvat RINO aplikacije na obaveze prema entitetima u javnom sektoru (obično javnim preduzećima).  Ocena A</w:t>
      </w:r>
    </w:p>
    <w:p w:rsidR="00F76155" w:rsidRDefault="00F76155">
      <w:pPr>
        <w:pStyle w:val="ParagraphNumbering"/>
        <w:numPr>
          <w:ilvl w:val="0"/>
          <w:numId w:val="0"/>
        </w:numPr>
        <w:spacing w:line="260" w:lineRule="auto"/>
        <w:jc w:val="both"/>
        <w:rPr>
          <w:lang w:val="sr-Latn-RS"/>
        </w:rPr>
      </w:pPr>
    </w:p>
    <w:p w:rsidR="00F76155" w:rsidRDefault="00F76155">
      <w:pPr>
        <w:pStyle w:val="ParagraphNumbering"/>
        <w:numPr>
          <w:ilvl w:val="0"/>
          <w:numId w:val="0"/>
        </w:numPr>
        <w:spacing w:line="260" w:lineRule="auto"/>
        <w:jc w:val="both"/>
        <w:rPr>
          <w:lang w:val="sr-Latn-RS"/>
        </w:rPr>
      </w:pPr>
    </w:p>
    <w:p w:rsidR="00F76155" w:rsidRPr="001E4CDF" w:rsidRDefault="00F76155">
      <w:pPr>
        <w:pStyle w:val="ParagraphNumbering"/>
        <w:numPr>
          <w:ilvl w:val="0"/>
          <w:numId w:val="0"/>
        </w:numPr>
        <w:spacing w:line="260" w:lineRule="auto"/>
        <w:jc w:val="both"/>
        <w:rPr>
          <w:lang w:val="sr-Latn-RS"/>
        </w:rPr>
      </w:pPr>
    </w:p>
    <w:p w:rsidR="00261842" w:rsidRPr="00F76155" w:rsidRDefault="00261842">
      <w:pPr>
        <w:pStyle w:val="Heading2"/>
        <w:spacing w:line="260" w:lineRule="auto"/>
        <w:rPr>
          <w:rFonts w:cs="Times New Roman"/>
          <w:bCs w:val="0"/>
          <w:iCs w:val="0"/>
          <w:szCs w:val="24"/>
          <w:lang w:val="sr-Latn-RS"/>
        </w:rPr>
      </w:pPr>
      <w:bookmarkStart w:id="12" w:name="_Toc421138246"/>
      <w:proofErr w:type="spellStart"/>
      <w:r w:rsidRPr="00F76155">
        <w:rPr>
          <w:rFonts w:cs="Times New Roman"/>
          <w:bCs w:val="0"/>
          <w:iCs w:val="0"/>
          <w:szCs w:val="24"/>
          <w:lang w:val="sr-Latn-RS"/>
        </w:rPr>
        <w:t>Sveobuhvatnost</w:t>
      </w:r>
      <w:proofErr w:type="spellEnd"/>
      <w:r w:rsidRPr="00F76155">
        <w:rPr>
          <w:rFonts w:cs="Times New Roman"/>
          <w:bCs w:val="0"/>
          <w:iCs w:val="0"/>
          <w:szCs w:val="24"/>
          <w:lang w:val="sr-Latn-RS"/>
        </w:rPr>
        <w:t xml:space="preserve"> i transparentnost budžeta</w:t>
      </w:r>
      <w:bookmarkEnd w:id="12"/>
    </w:p>
    <w:p w:rsidR="00261842" w:rsidRPr="001E4CDF" w:rsidRDefault="00261842">
      <w:pPr>
        <w:spacing w:line="260" w:lineRule="auto"/>
        <w:rPr>
          <w:b/>
          <w:szCs w:val="24"/>
          <w:lang w:val="sr-Latn-RS"/>
        </w:rPr>
      </w:pPr>
      <w:r w:rsidRPr="001E4CDF">
        <w:rPr>
          <w:b/>
          <w:sz w:val="20"/>
          <w:szCs w:val="24"/>
          <w:lang w:val="sr-Latn-RS"/>
        </w:rPr>
        <w:t xml:space="preserve">PU-5 </w:t>
      </w:r>
      <w:r w:rsidRPr="001E4CDF">
        <w:rPr>
          <w:b/>
          <w:sz w:val="22"/>
          <w:szCs w:val="24"/>
          <w:lang w:val="sr-Latn-RS"/>
        </w:rPr>
        <w:t>Budžetska klasifikacija</w:t>
      </w:r>
    </w:p>
    <w:p w:rsidR="00261842" w:rsidRPr="001E4CDF" w:rsidRDefault="00261842">
      <w:pPr>
        <w:rPr>
          <w:szCs w:val="24"/>
          <w:lang w:val="sr-Latn-RS"/>
        </w:rPr>
      </w:pPr>
    </w:p>
    <w:tbl>
      <w:tblPr>
        <w:tblW w:w="8944" w:type="dxa"/>
        <w:tblInd w:w="95" w:type="dxa"/>
        <w:tblLayout w:type="fixed"/>
        <w:tblLook w:val="04A0" w:firstRow="1" w:lastRow="0" w:firstColumn="1" w:lastColumn="0" w:noHBand="0" w:noVBand="1"/>
      </w:tblPr>
      <w:tblGrid>
        <w:gridCol w:w="2990"/>
        <w:gridCol w:w="1134"/>
        <w:gridCol w:w="4820"/>
      </w:tblGrid>
      <w:tr w:rsidR="00261842" w:rsidRPr="00025057">
        <w:trPr>
          <w:trHeight w:val="300"/>
        </w:trPr>
        <w:tc>
          <w:tcPr>
            <w:tcW w:w="2990" w:type="dxa"/>
            <w:tcBorders>
              <w:top w:val="single" w:sz="4" w:space="0" w:color="auto"/>
              <w:left w:val="single" w:sz="4" w:space="0" w:color="auto"/>
              <w:bottom w:val="single" w:sz="4" w:space="0" w:color="auto"/>
              <w:right w:val="single" w:sz="4" w:space="0" w:color="auto"/>
            </w:tcBorders>
            <w:shd w:val="clear" w:color="auto" w:fill="D2EFFF"/>
            <w:vAlign w:val="center"/>
          </w:tcPr>
          <w:p w:rsidR="00261842" w:rsidRPr="00C03E15" w:rsidRDefault="00261842">
            <w:pPr>
              <w:rPr>
                <w:szCs w:val="24"/>
                <w:lang w:val="sr-Latn-RS"/>
              </w:rPr>
            </w:pPr>
          </w:p>
        </w:tc>
        <w:tc>
          <w:tcPr>
            <w:tcW w:w="5954" w:type="dxa"/>
            <w:gridSpan w:val="2"/>
            <w:tcBorders>
              <w:top w:val="single" w:sz="4" w:space="0" w:color="auto"/>
              <w:left w:val="nil"/>
              <w:bottom w:val="single" w:sz="4" w:space="0" w:color="auto"/>
              <w:right w:val="single" w:sz="4" w:space="0" w:color="auto"/>
            </w:tcBorders>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M1)</w:t>
            </w:r>
          </w:p>
        </w:tc>
      </w:tr>
      <w:tr w:rsidR="00261842" w:rsidRPr="00C03E15">
        <w:trPr>
          <w:trHeight w:val="300"/>
        </w:trPr>
        <w:tc>
          <w:tcPr>
            <w:tcW w:w="2990" w:type="dxa"/>
            <w:tcBorders>
              <w:top w:val="single" w:sz="4" w:space="0" w:color="auto"/>
              <w:left w:val="single" w:sz="4" w:space="0" w:color="auto"/>
              <w:bottom w:val="single" w:sz="4" w:space="0" w:color="auto"/>
              <w:right w:val="single" w:sz="4" w:space="0" w:color="auto"/>
            </w:tcBorders>
            <w:shd w:val="clear" w:color="auto" w:fill="D2EFFF"/>
            <w:vAlign w:val="center"/>
            <w:hideMark/>
          </w:tcPr>
          <w:p w:rsidR="00261842" w:rsidRPr="00C03E15" w:rsidRDefault="00261842">
            <w:pPr>
              <w:rPr>
                <w:szCs w:val="24"/>
                <w:lang w:val="sr-Latn-RS"/>
              </w:rPr>
            </w:pPr>
          </w:p>
        </w:tc>
        <w:tc>
          <w:tcPr>
            <w:tcW w:w="1134"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b/>
                <w:sz w:val="20"/>
                <w:szCs w:val="24"/>
                <w:lang w:val="sr-Latn-RS"/>
              </w:rPr>
            </w:pPr>
            <w:r w:rsidRPr="00C03E15">
              <w:rPr>
                <w:b/>
                <w:sz w:val="20"/>
                <w:szCs w:val="24"/>
                <w:lang w:val="sr-Latn-RS"/>
              </w:rPr>
              <w:t>2014</w:t>
            </w:r>
          </w:p>
        </w:tc>
        <w:tc>
          <w:tcPr>
            <w:tcW w:w="4820"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szCs w:val="24"/>
                <w:lang w:val="sr-Latn-RS"/>
              </w:rPr>
            </w:pPr>
            <w:r w:rsidRPr="00C03E15">
              <w:rPr>
                <w:b/>
                <w:sz w:val="20"/>
                <w:szCs w:val="24"/>
                <w:lang w:val="sr-Latn-RS"/>
              </w:rPr>
              <w:t>Objašnjenje</w:t>
            </w:r>
          </w:p>
        </w:tc>
      </w:tr>
      <w:tr w:rsidR="00261842" w:rsidRPr="00C03E15">
        <w:trPr>
          <w:trHeight w:val="300"/>
        </w:trPr>
        <w:tc>
          <w:tcPr>
            <w:tcW w:w="2990" w:type="dxa"/>
            <w:tcBorders>
              <w:top w:val="single" w:sz="4" w:space="0" w:color="auto"/>
              <w:left w:val="single" w:sz="4" w:space="0" w:color="auto"/>
              <w:bottom w:val="single" w:sz="4" w:space="0" w:color="auto"/>
              <w:right w:val="single" w:sz="4" w:space="0" w:color="auto"/>
            </w:tcBorders>
            <w:vAlign w:val="center"/>
          </w:tcPr>
          <w:p w:rsidR="00261842" w:rsidRPr="00C03E15" w:rsidRDefault="00261842">
            <w:pPr>
              <w:spacing w:line="260" w:lineRule="auto"/>
              <w:rPr>
                <w:szCs w:val="24"/>
                <w:lang w:val="sr-Latn-RS"/>
              </w:rPr>
            </w:pPr>
            <w:r w:rsidRPr="00C03E15">
              <w:rPr>
                <w:b/>
                <w:sz w:val="20"/>
                <w:szCs w:val="24"/>
                <w:lang w:val="sr-Latn-RS"/>
              </w:rPr>
              <w:t xml:space="preserve">PU-5 </w:t>
            </w:r>
            <w:r w:rsidRPr="00C03E15">
              <w:rPr>
                <w:b/>
                <w:sz w:val="22"/>
                <w:szCs w:val="24"/>
                <w:lang w:val="sr-Latn-RS"/>
              </w:rPr>
              <w:t>Budžetska klasifikacija</w:t>
            </w:r>
          </w:p>
        </w:tc>
        <w:tc>
          <w:tcPr>
            <w:tcW w:w="1134"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b/>
                <w:sz w:val="20"/>
                <w:szCs w:val="24"/>
                <w:lang w:val="sr-Latn-RS"/>
              </w:rPr>
              <w:t xml:space="preserve">Ocena A </w:t>
            </w:r>
          </w:p>
        </w:tc>
        <w:tc>
          <w:tcPr>
            <w:tcW w:w="4820" w:type="dxa"/>
            <w:tcBorders>
              <w:top w:val="single" w:sz="4" w:space="0" w:color="auto"/>
              <w:left w:val="nil"/>
              <w:bottom w:val="single" w:sz="4" w:space="0" w:color="auto"/>
              <w:right w:val="single" w:sz="4" w:space="0" w:color="auto"/>
            </w:tcBorders>
            <w:vAlign w:val="center"/>
          </w:tcPr>
          <w:p w:rsidR="00261842" w:rsidRPr="00C03E15" w:rsidRDefault="00261842">
            <w:pPr>
              <w:spacing w:line="240" w:lineRule="auto"/>
              <w:jc w:val="center"/>
              <w:rPr>
                <w:b/>
                <w:sz w:val="20"/>
                <w:szCs w:val="24"/>
                <w:lang w:val="sr-Latn-RS"/>
              </w:rPr>
            </w:pPr>
          </w:p>
        </w:tc>
      </w:tr>
      <w:tr w:rsidR="00261842" w:rsidRPr="00025057">
        <w:trPr>
          <w:trHeight w:val="300"/>
        </w:trPr>
        <w:tc>
          <w:tcPr>
            <w:tcW w:w="2990" w:type="dxa"/>
            <w:tcBorders>
              <w:top w:val="nil"/>
              <w:left w:val="single" w:sz="4" w:space="0" w:color="auto"/>
              <w:bottom w:val="single" w:sz="4" w:space="0" w:color="auto"/>
              <w:right w:val="single" w:sz="4" w:space="0" w:color="auto"/>
            </w:tcBorders>
            <w:hideMark/>
          </w:tcPr>
          <w:p w:rsidR="00261842" w:rsidRPr="00C03E15" w:rsidRDefault="00261842">
            <w:pPr>
              <w:spacing w:line="240" w:lineRule="auto"/>
              <w:rPr>
                <w:szCs w:val="24"/>
                <w:lang w:val="sr-Latn-RS"/>
              </w:rPr>
            </w:pPr>
            <w:r w:rsidRPr="00C03E15">
              <w:rPr>
                <w:sz w:val="20"/>
                <w:szCs w:val="24"/>
                <w:lang w:val="sr-Latn-RS"/>
              </w:rPr>
              <w:t>(i) Sistem klasifikacije koji se koristi za pripremu, izvršenje i izveštavanje o budžetu lokalne samouprave</w:t>
            </w:r>
          </w:p>
        </w:tc>
        <w:tc>
          <w:tcPr>
            <w:tcW w:w="1134" w:type="dxa"/>
            <w:tcBorders>
              <w:top w:val="nil"/>
              <w:left w:val="nil"/>
              <w:bottom w:val="single" w:sz="4" w:space="0" w:color="auto"/>
              <w:right w:val="single" w:sz="4" w:space="0" w:color="auto"/>
            </w:tcBorders>
            <w:hideMark/>
          </w:tcPr>
          <w:p w:rsidR="00261842" w:rsidRPr="00C03E15" w:rsidRDefault="00261842">
            <w:pPr>
              <w:spacing w:line="240" w:lineRule="auto"/>
              <w:jc w:val="center"/>
              <w:rPr>
                <w:szCs w:val="24"/>
                <w:lang w:val="sr-Latn-RS"/>
              </w:rPr>
            </w:pPr>
            <w:r w:rsidRPr="00C03E15">
              <w:rPr>
                <w:sz w:val="20"/>
                <w:szCs w:val="24"/>
                <w:lang w:val="sr-Latn-RS"/>
              </w:rPr>
              <w:t>A</w:t>
            </w:r>
          </w:p>
        </w:tc>
        <w:tc>
          <w:tcPr>
            <w:tcW w:w="4820" w:type="dxa"/>
            <w:tcBorders>
              <w:top w:val="nil"/>
              <w:left w:val="nil"/>
              <w:bottom w:val="single" w:sz="4" w:space="0" w:color="auto"/>
              <w:right w:val="single" w:sz="4" w:space="0" w:color="auto"/>
            </w:tcBorders>
            <w:hideMark/>
          </w:tcPr>
          <w:p w:rsidR="00261842" w:rsidRPr="00C03E15" w:rsidRDefault="00261842">
            <w:pPr>
              <w:spacing w:line="240" w:lineRule="auto"/>
              <w:rPr>
                <w:szCs w:val="24"/>
                <w:lang w:val="sr-Latn-RS"/>
              </w:rPr>
            </w:pPr>
            <w:r w:rsidRPr="00C03E15">
              <w:rPr>
                <w:sz w:val="20"/>
                <w:szCs w:val="24"/>
                <w:lang w:val="sr-Latn-RS"/>
              </w:rPr>
              <w:t xml:space="preserve">Priprema i izvršenje budžeta bazirano je na organizacionoj, ekonomskoj i funkcionalnoj klasifikaciji i primenjuju se GFS/COFOG standardi ili standard na osnovu kojeg se može dobiti konsistentna dokumentaciju u skladu sa tim standardima. (Programska klasifikacija može biti zamena za funkcionalnu klasifikaciju, ukoliko se primenjuje sa </w:t>
            </w:r>
            <w:proofErr w:type="spellStart"/>
            <w:r w:rsidRPr="00C03E15">
              <w:rPr>
                <w:sz w:val="20"/>
                <w:szCs w:val="24"/>
                <w:lang w:val="sr-Latn-RS"/>
              </w:rPr>
              <w:t>detaljnošću</w:t>
            </w:r>
            <w:proofErr w:type="spellEnd"/>
            <w:r w:rsidRPr="00C03E15">
              <w:rPr>
                <w:sz w:val="20"/>
                <w:szCs w:val="24"/>
                <w:lang w:val="sr-Latn-RS"/>
              </w:rPr>
              <w:t xml:space="preserve"> koja je barem na nivou </w:t>
            </w:r>
            <w:proofErr w:type="spellStart"/>
            <w:r w:rsidRPr="00C03E15">
              <w:rPr>
                <w:sz w:val="20"/>
                <w:szCs w:val="24"/>
                <w:lang w:val="sr-Latn-RS"/>
              </w:rPr>
              <w:t>podfunkcionalne</w:t>
            </w:r>
            <w:proofErr w:type="spellEnd"/>
            <w:r w:rsidRPr="00C03E15">
              <w:rPr>
                <w:sz w:val="20"/>
                <w:szCs w:val="24"/>
                <w:lang w:val="sr-Latn-RS"/>
              </w:rPr>
              <w:t xml:space="preserve">  klasifikacije)</w:t>
            </w:r>
          </w:p>
        </w:tc>
      </w:tr>
    </w:tbl>
    <w:p w:rsidR="00261842" w:rsidRPr="001E4CDF" w:rsidRDefault="00261842">
      <w:pPr>
        <w:rPr>
          <w:szCs w:val="24"/>
          <w:lang w:val="sr-Latn-RS"/>
        </w:rPr>
      </w:pPr>
    </w:p>
    <w:p w:rsidR="00261842" w:rsidRPr="001E4CDF" w:rsidRDefault="00261842" w:rsidP="00F76155">
      <w:pPr>
        <w:pStyle w:val="ParagraphNumbering"/>
        <w:numPr>
          <w:ilvl w:val="0"/>
          <w:numId w:val="0"/>
        </w:numPr>
        <w:spacing w:line="260" w:lineRule="auto"/>
        <w:jc w:val="both"/>
        <w:rPr>
          <w:lang w:val="sr-Latn-RS"/>
        </w:rPr>
      </w:pPr>
      <w:r w:rsidRPr="001E4CDF">
        <w:rPr>
          <w:sz w:val="20"/>
          <w:lang w:val="sr-Latn-RS"/>
        </w:rPr>
        <w:t xml:space="preserve">(i) </w:t>
      </w:r>
      <w:r w:rsidRPr="001E4CDF">
        <w:rPr>
          <w:lang w:val="sr-Latn-RS"/>
        </w:rPr>
        <w:t xml:space="preserve">Ovaj indikator ocenjuje kvalitet sistema klasifikacije koji se koristi za pripremu, izvršenje i izveštavanje o budžetu lokalne samouprave Procena se zasniva na sistemu klasifikacije koji se koristi za procese pripreme i izvršenja budžeta u 2014. godini. </w:t>
      </w:r>
    </w:p>
    <w:p w:rsidR="00261842" w:rsidRPr="001E4CDF" w:rsidRDefault="00261842">
      <w:pPr>
        <w:pStyle w:val="ParagraphNumbering"/>
        <w:numPr>
          <w:ilvl w:val="0"/>
          <w:numId w:val="0"/>
        </w:numPr>
        <w:spacing w:line="260" w:lineRule="auto"/>
        <w:rPr>
          <w:b/>
          <w:lang w:val="sr-Latn-RS"/>
        </w:rPr>
      </w:pPr>
      <w:r w:rsidRPr="001E4CDF">
        <w:rPr>
          <w:b/>
          <w:lang w:val="sr-Latn-RS"/>
        </w:rPr>
        <w:t xml:space="preserve"> </w:t>
      </w:r>
      <w:r w:rsidRPr="001E4CDF">
        <w:rPr>
          <w:b/>
          <w:sz w:val="20"/>
          <w:lang w:val="sr-Latn-RS"/>
        </w:rPr>
        <w:t xml:space="preserve">(i) </w:t>
      </w:r>
      <w:r w:rsidRPr="001E4CDF">
        <w:rPr>
          <w:b/>
          <w:lang w:val="sr-Latn-RS"/>
        </w:rPr>
        <w:t>Sistem klasifikacije koji se koristi za pripremu, izvršenje i izveštavanje o budžetu lokalne samouprave</w:t>
      </w:r>
    </w:p>
    <w:p w:rsidR="00261842" w:rsidRPr="001E4CDF" w:rsidRDefault="00261842" w:rsidP="00F76155">
      <w:pPr>
        <w:pStyle w:val="ParagraphNumbering"/>
        <w:numPr>
          <w:ilvl w:val="0"/>
          <w:numId w:val="0"/>
        </w:numPr>
        <w:spacing w:line="260" w:lineRule="auto"/>
        <w:jc w:val="both"/>
        <w:rPr>
          <w:lang w:val="sr-Latn-RS"/>
        </w:rPr>
      </w:pPr>
      <w:r w:rsidRPr="001E4CDF">
        <w:rPr>
          <w:lang w:val="sr-Latn-RS"/>
        </w:rPr>
        <w:t>Sistem klasifikacije koji se koristi za pripremu budžeta, izvršenje i izveštavanje propisan je Pravilnikom o standardnom klasifikacionom okviru i Kontnom planu za budžetski sistem („Sl. glasnik RS“, br. 103/2011, 10/2012, 18/2012, 95/2012, 99/2012, 22/2013, 48/2013 i 61/201) i Pravilnikom o izmenama i dopunama Pravilnika o standardnom klasifikacionom okviru i Kontnom planu za budžetski sistem („Sl. glasnik RS“, br. Ista klasifikacija se primenjuje i na centralnom nivou vlasti. Ocena A</w:t>
      </w:r>
    </w:p>
    <w:p w:rsidR="00261842" w:rsidRPr="001E4CDF" w:rsidRDefault="00261842">
      <w:pPr>
        <w:spacing w:line="260" w:lineRule="auto"/>
        <w:rPr>
          <w:b/>
          <w:szCs w:val="24"/>
          <w:lang w:val="sr-Latn-RS"/>
        </w:rPr>
      </w:pPr>
      <w:r w:rsidRPr="001E4CDF">
        <w:rPr>
          <w:b/>
          <w:sz w:val="22"/>
          <w:szCs w:val="24"/>
          <w:lang w:val="sr-Latn-RS"/>
        </w:rPr>
        <w:t xml:space="preserve">PU-6 </w:t>
      </w:r>
      <w:proofErr w:type="spellStart"/>
      <w:r w:rsidRPr="001E4CDF">
        <w:rPr>
          <w:b/>
          <w:szCs w:val="24"/>
          <w:lang w:val="sr-Latn-RS"/>
        </w:rPr>
        <w:t>Sveobuhvatnost</w:t>
      </w:r>
      <w:proofErr w:type="spellEnd"/>
      <w:r w:rsidRPr="001E4CDF">
        <w:rPr>
          <w:b/>
          <w:szCs w:val="24"/>
          <w:lang w:val="sr-Latn-RS"/>
        </w:rPr>
        <w:t xml:space="preserve"> podataka u budžetskim dokumentima</w:t>
      </w:r>
    </w:p>
    <w:p w:rsidR="00261842" w:rsidRPr="001E4CDF" w:rsidRDefault="00261842">
      <w:pPr>
        <w:rPr>
          <w:szCs w:val="24"/>
          <w:lang w:val="sr-Latn-RS"/>
        </w:rPr>
      </w:pPr>
    </w:p>
    <w:tbl>
      <w:tblPr>
        <w:tblW w:w="8944" w:type="dxa"/>
        <w:tblInd w:w="95" w:type="dxa"/>
        <w:tblLayout w:type="fixed"/>
        <w:tblLook w:val="04A0" w:firstRow="1" w:lastRow="0" w:firstColumn="1" w:lastColumn="0" w:noHBand="0" w:noVBand="1"/>
      </w:tblPr>
      <w:tblGrid>
        <w:gridCol w:w="4266"/>
        <w:gridCol w:w="982"/>
        <w:gridCol w:w="3696"/>
      </w:tblGrid>
      <w:tr w:rsidR="00261842" w:rsidRPr="00025057">
        <w:trPr>
          <w:trHeight w:val="300"/>
        </w:trPr>
        <w:tc>
          <w:tcPr>
            <w:tcW w:w="4266" w:type="dxa"/>
            <w:tcBorders>
              <w:top w:val="single" w:sz="4" w:space="0" w:color="auto"/>
              <w:left w:val="single" w:sz="4" w:space="0" w:color="auto"/>
              <w:bottom w:val="single" w:sz="4" w:space="0" w:color="auto"/>
              <w:right w:val="single" w:sz="4" w:space="0" w:color="auto"/>
            </w:tcBorders>
            <w:shd w:val="clear" w:color="auto" w:fill="D2EFFF"/>
            <w:vAlign w:val="center"/>
          </w:tcPr>
          <w:p w:rsidR="00261842" w:rsidRPr="00C03E15" w:rsidRDefault="00261842">
            <w:pPr>
              <w:spacing w:line="240" w:lineRule="auto"/>
              <w:rPr>
                <w:b/>
                <w:sz w:val="22"/>
                <w:szCs w:val="24"/>
                <w:lang w:val="sr-Latn-RS"/>
              </w:rPr>
            </w:pPr>
          </w:p>
        </w:tc>
        <w:tc>
          <w:tcPr>
            <w:tcW w:w="4678" w:type="dxa"/>
            <w:gridSpan w:val="2"/>
            <w:tcBorders>
              <w:top w:val="single" w:sz="4" w:space="0" w:color="auto"/>
              <w:left w:val="nil"/>
              <w:bottom w:val="single" w:sz="4" w:space="0" w:color="auto"/>
              <w:right w:val="single" w:sz="4" w:space="0" w:color="auto"/>
            </w:tcBorders>
            <w:shd w:val="clear" w:color="auto" w:fill="D2EFFF"/>
            <w:vAlign w:val="center"/>
          </w:tcPr>
          <w:p w:rsidR="00261842" w:rsidRPr="00C03E15" w:rsidRDefault="00261842">
            <w:pPr>
              <w:spacing w:line="240" w:lineRule="auto"/>
              <w:jc w:val="center"/>
              <w:rPr>
                <w:szCs w:val="24"/>
                <w:lang w:val="sr-Latn-RS"/>
              </w:rPr>
            </w:pPr>
            <w:r w:rsidRPr="00C03E15">
              <w:rPr>
                <w:b/>
                <w:color w:val="000000"/>
                <w:sz w:val="22"/>
                <w:szCs w:val="24"/>
                <w:lang w:val="sr-Latn-RS"/>
              </w:rPr>
              <w:t>Minimalni uslovi (Metod za ocenjivanje M1)</w:t>
            </w:r>
          </w:p>
        </w:tc>
      </w:tr>
      <w:tr w:rsidR="00261842" w:rsidRPr="00C03E15">
        <w:trPr>
          <w:trHeight w:val="300"/>
        </w:trPr>
        <w:tc>
          <w:tcPr>
            <w:tcW w:w="4266" w:type="dxa"/>
            <w:tcBorders>
              <w:top w:val="single" w:sz="4" w:space="0" w:color="auto"/>
              <w:left w:val="single" w:sz="4" w:space="0" w:color="auto"/>
              <w:bottom w:val="single" w:sz="4" w:space="0" w:color="auto"/>
              <w:right w:val="single" w:sz="4" w:space="0" w:color="auto"/>
            </w:tcBorders>
            <w:shd w:val="clear" w:color="auto" w:fill="D2EFFF"/>
            <w:vAlign w:val="center"/>
            <w:hideMark/>
          </w:tcPr>
          <w:p w:rsidR="00261842" w:rsidRPr="00C03E15" w:rsidRDefault="00261842">
            <w:pPr>
              <w:spacing w:line="240" w:lineRule="auto"/>
              <w:rPr>
                <w:b/>
                <w:sz w:val="22"/>
                <w:szCs w:val="24"/>
                <w:lang w:val="sr-Latn-RS"/>
              </w:rPr>
            </w:pPr>
          </w:p>
        </w:tc>
        <w:tc>
          <w:tcPr>
            <w:tcW w:w="982"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b/>
                <w:sz w:val="22"/>
                <w:szCs w:val="24"/>
                <w:lang w:val="sr-Latn-RS"/>
              </w:rPr>
            </w:pPr>
            <w:r w:rsidRPr="00C03E15">
              <w:rPr>
                <w:b/>
                <w:sz w:val="22"/>
                <w:szCs w:val="24"/>
                <w:lang w:val="sr-Latn-RS"/>
              </w:rPr>
              <w:t>2014</w:t>
            </w:r>
          </w:p>
        </w:tc>
        <w:tc>
          <w:tcPr>
            <w:tcW w:w="3696"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szCs w:val="24"/>
                <w:lang w:val="sr-Latn-RS"/>
              </w:rPr>
            </w:pPr>
            <w:r w:rsidRPr="00C03E15">
              <w:rPr>
                <w:b/>
                <w:sz w:val="22"/>
                <w:szCs w:val="24"/>
                <w:lang w:val="sr-Latn-RS"/>
              </w:rPr>
              <w:t>Objašnjenje</w:t>
            </w:r>
          </w:p>
        </w:tc>
      </w:tr>
      <w:tr w:rsidR="00261842" w:rsidRPr="00C03E15">
        <w:trPr>
          <w:trHeight w:val="300"/>
        </w:trPr>
        <w:tc>
          <w:tcPr>
            <w:tcW w:w="4266" w:type="dxa"/>
            <w:tcBorders>
              <w:top w:val="single" w:sz="4" w:space="0" w:color="auto"/>
              <w:left w:val="single" w:sz="4" w:space="0" w:color="auto"/>
              <w:bottom w:val="single" w:sz="4" w:space="0" w:color="auto"/>
              <w:right w:val="single" w:sz="4" w:space="0" w:color="auto"/>
            </w:tcBorders>
            <w:vAlign w:val="center"/>
          </w:tcPr>
          <w:p w:rsidR="00261842" w:rsidRPr="00C03E15" w:rsidRDefault="00261842">
            <w:pPr>
              <w:spacing w:line="240" w:lineRule="auto"/>
              <w:rPr>
                <w:szCs w:val="24"/>
                <w:lang w:val="sr-Latn-RS"/>
              </w:rPr>
            </w:pPr>
            <w:r w:rsidRPr="00C03E15">
              <w:rPr>
                <w:b/>
                <w:sz w:val="22"/>
                <w:szCs w:val="24"/>
                <w:lang w:val="sr-Latn-RS"/>
              </w:rPr>
              <w:t xml:space="preserve">PU-6 </w:t>
            </w:r>
            <w:proofErr w:type="spellStart"/>
            <w:r w:rsidRPr="00C03E15">
              <w:rPr>
                <w:b/>
                <w:sz w:val="20"/>
                <w:szCs w:val="24"/>
                <w:lang w:val="sr-Latn-RS"/>
              </w:rPr>
              <w:t>Sveobuhvatnost</w:t>
            </w:r>
            <w:proofErr w:type="spellEnd"/>
            <w:r w:rsidRPr="00C03E15">
              <w:rPr>
                <w:b/>
                <w:sz w:val="20"/>
                <w:szCs w:val="24"/>
                <w:lang w:val="sr-Latn-RS"/>
              </w:rPr>
              <w:t xml:space="preserve"> podataka u budžetskim dokumentima</w:t>
            </w:r>
          </w:p>
        </w:tc>
        <w:tc>
          <w:tcPr>
            <w:tcW w:w="982" w:type="dxa"/>
            <w:tcBorders>
              <w:top w:val="single" w:sz="4" w:space="0" w:color="auto"/>
              <w:left w:val="nil"/>
              <w:bottom w:val="single" w:sz="4" w:space="0" w:color="auto"/>
              <w:right w:val="single" w:sz="4" w:space="0" w:color="auto"/>
            </w:tcBorders>
            <w:vAlign w:val="center"/>
          </w:tcPr>
          <w:p w:rsidR="00261842" w:rsidRPr="00C03E15" w:rsidRDefault="00261842">
            <w:pPr>
              <w:spacing w:line="240" w:lineRule="auto"/>
              <w:jc w:val="center"/>
              <w:rPr>
                <w:szCs w:val="24"/>
                <w:lang w:val="sr-Latn-RS"/>
              </w:rPr>
            </w:pPr>
            <w:r w:rsidRPr="00C03E15">
              <w:rPr>
                <w:b/>
                <w:sz w:val="20"/>
                <w:szCs w:val="24"/>
                <w:lang w:val="sr-Latn-RS"/>
              </w:rPr>
              <w:t>Ocena C</w:t>
            </w:r>
          </w:p>
        </w:tc>
        <w:tc>
          <w:tcPr>
            <w:tcW w:w="3696" w:type="dxa"/>
            <w:tcBorders>
              <w:top w:val="single" w:sz="4" w:space="0" w:color="auto"/>
              <w:left w:val="nil"/>
              <w:bottom w:val="single" w:sz="4" w:space="0" w:color="auto"/>
              <w:right w:val="single" w:sz="4" w:space="0" w:color="auto"/>
            </w:tcBorders>
            <w:vAlign w:val="center"/>
          </w:tcPr>
          <w:p w:rsidR="00261842" w:rsidRPr="00C03E15" w:rsidRDefault="00261842">
            <w:pPr>
              <w:spacing w:line="240" w:lineRule="auto"/>
              <w:jc w:val="center"/>
              <w:rPr>
                <w:b/>
                <w:sz w:val="20"/>
                <w:szCs w:val="24"/>
                <w:lang w:val="sr-Latn-RS"/>
              </w:rPr>
            </w:pPr>
          </w:p>
        </w:tc>
      </w:tr>
      <w:tr w:rsidR="00261842" w:rsidRPr="00025057">
        <w:trPr>
          <w:trHeight w:val="300"/>
        </w:trPr>
        <w:tc>
          <w:tcPr>
            <w:tcW w:w="4266" w:type="dxa"/>
            <w:tcBorders>
              <w:top w:val="nil"/>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 xml:space="preserve">(i) </w:t>
            </w:r>
            <w:r w:rsidRPr="00C03E15">
              <w:rPr>
                <w:sz w:val="22"/>
                <w:szCs w:val="24"/>
                <w:lang w:val="sr-Latn-RS"/>
              </w:rPr>
              <w:t>Udeo devet elemenata navedenih informacija u najskorijoj budžetskoj dokumentaciji lokalne vlasti</w:t>
            </w:r>
          </w:p>
        </w:tc>
        <w:tc>
          <w:tcPr>
            <w:tcW w:w="982" w:type="dxa"/>
            <w:tcBorders>
              <w:top w:val="nil"/>
              <w:left w:val="nil"/>
              <w:bottom w:val="single" w:sz="4" w:space="0" w:color="auto"/>
              <w:right w:val="single" w:sz="4" w:space="0" w:color="auto"/>
            </w:tcBorders>
            <w:vAlign w:val="center"/>
          </w:tcPr>
          <w:p w:rsidR="00261842" w:rsidRPr="00C03E15" w:rsidRDefault="00261842">
            <w:pPr>
              <w:spacing w:line="240" w:lineRule="auto"/>
              <w:jc w:val="center"/>
              <w:rPr>
                <w:szCs w:val="24"/>
                <w:lang w:val="sr-Latn-RS"/>
              </w:rPr>
            </w:pPr>
            <w:r w:rsidRPr="00C03E15">
              <w:rPr>
                <w:b/>
                <w:sz w:val="20"/>
                <w:szCs w:val="24"/>
                <w:lang w:val="sr-Latn-RS"/>
              </w:rPr>
              <w:t>C</w:t>
            </w:r>
          </w:p>
        </w:tc>
        <w:tc>
          <w:tcPr>
            <w:tcW w:w="3696" w:type="dxa"/>
            <w:tcBorders>
              <w:top w:val="nil"/>
              <w:left w:val="nil"/>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 xml:space="preserve">Najskorija budžetska dokumentacija ispunjava 3-4 od 9 elemenata  </w:t>
            </w:r>
          </w:p>
        </w:tc>
      </w:tr>
    </w:tbl>
    <w:p w:rsidR="00261842" w:rsidRPr="001E4CDF" w:rsidRDefault="00261842">
      <w:pPr>
        <w:autoSpaceDE w:val="0"/>
        <w:autoSpaceDN w:val="0"/>
        <w:adjustRightInd w:val="0"/>
        <w:spacing w:line="240" w:lineRule="auto"/>
        <w:rPr>
          <w:sz w:val="20"/>
          <w:szCs w:val="24"/>
          <w:lang w:val="sr-Latn-RS"/>
        </w:rPr>
      </w:pPr>
    </w:p>
    <w:p w:rsidR="00261842" w:rsidRPr="001E4CDF" w:rsidRDefault="00261842" w:rsidP="00F76155">
      <w:pPr>
        <w:pStyle w:val="ParagraphNumbering"/>
        <w:numPr>
          <w:ilvl w:val="0"/>
          <w:numId w:val="0"/>
        </w:numPr>
        <w:spacing w:line="260" w:lineRule="auto"/>
        <w:jc w:val="both"/>
        <w:rPr>
          <w:lang w:val="sr-Latn-RS"/>
        </w:rPr>
      </w:pPr>
      <w:r w:rsidRPr="001E4CDF">
        <w:rPr>
          <w:sz w:val="22"/>
          <w:lang w:val="sr-Latn-RS"/>
        </w:rPr>
        <w:lastRenderedPageBreak/>
        <w:t>Ovaj pokazatelj procenjuje da li obuhvat godišnje budžetske dokumentacije koja se dostavlja zakonodavnom telu na razmatranje i usvajanje, predstavlja kompletnu sliku fiskalnih predviđanja, predloga budžeta i ostvarenja prethodnih godina</w:t>
      </w:r>
      <w:r w:rsidRPr="001E4CDF">
        <w:rPr>
          <w:lang w:val="sr-Latn-RS"/>
        </w:rPr>
        <w:t xml:space="preserve">. </w:t>
      </w:r>
      <w:r w:rsidRPr="001E4CDF">
        <w:rPr>
          <w:sz w:val="22"/>
          <w:lang w:val="sr-Latn-RS"/>
        </w:rPr>
        <w:t>Procena ovog pokazatelja je bazirana na osnovu dokumentacije za budžet 2014, koja je predstavljena u Skupštini.</w:t>
      </w:r>
      <w:r w:rsidRPr="001E4CDF">
        <w:rPr>
          <w:lang w:val="sr-Latn-RS"/>
        </w:rPr>
        <w:t>.</w:t>
      </w:r>
    </w:p>
    <w:p w:rsidR="00261842" w:rsidRPr="001E4CDF" w:rsidRDefault="00261842">
      <w:pPr>
        <w:pStyle w:val="ParagraphNumbering"/>
        <w:numPr>
          <w:ilvl w:val="0"/>
          <w:numId w:val="0"/>
        </w:numPr>
        <w:spacing w:line="260" w:lineRule="auto"/>
        <w:rPr>
          <w:b/>
          <w:lang w:val="sr-Latn-RS"/>
        </w:rPr>
      </w:pPr>
      <w:r w:rsidRPr="001E4CDF">
        <w:rPr>
          <w:b/>
          <w:sz w:val="20"/>
          <w:lang w:val="sr-Latn-RS"/>
        </w:rPr>
        <w:t xml:space="preserve">(i) </w:t>
      </w:r>
      <w:r w:rsidRPr="001E4CDF">
        <w:rPr>
          <w:b/>
          <w:sz w:val="22"/>
          <w:lang w:val="sr-Latn-RS"/>
        </w:rPr>
        <w:t>Udeo devet elemenata navedenih informacija u najskorijoj budžetskoj dokumentaciji lokalne vlasti</w:t>
      </w:r>
    </w:p>
    <w:p w:rsidR="00261842" w:rsidRPr="001E4CDF" w:rsidRDefault="00261842">
      <w:pPr>
        <w:pStyle w:val="ParagraphNumbering"/>
        <w:numPr>
          <w:ilvl w:val="0"/>
          <w:numId w:val="0"/>
        </w:numPr>
        <w:spacing w:line="260" w:lineRule="auto"/>
        <w:rPr>
          <w:lang w:val="sr-Latn-RS"/>
        </w:rPr>
      </w:pPr>
      <w:r w:rsidRPr="001E4CDF">
        <w:rPr>
          <w:color w:val="000000"/>
          <w:lang w:val="sr-Latn-RS"/>
        </w:rPr>
        <w:t>Kao što je dato u tabeli u nastavku, budžetska dokumentacija za 2014 ispunjava 4-6 od 9 elemenata. Ocena C</w:t>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571"/>
        <w:gridCol w:w="1134"/>
        <w:gridCol w:w="3863"/>
      </w:tblGrid>
      <w:tr w:rsidR="00261842" w:rsidRPr="00C03E15" w:rsidTr="00C03E15">
        <w:tc>
          <w:tcPr>
            <w:tcW w:w="9108" w:type="dxa"/>
            <w:gridSpan w:val="4"/>
            <w:shd w:val="clear" w:color="auto" w:fill="D2EFFF"/>
          </w:tcPr>
          <w:p w:rsidR="00261842" w:rsidRPr="00C03E15" w:rsidRDefault="00261842" w:rsidP="00C03E15">
            <w:pPr>
              <w:widowControl w:val="0"/>
              <w:spacing w:line="260" w:lineRule="auto"/>
              <w:jc w:val="center"/>
              <w:rPr>
                <w:szCs w:val="24"/>
                <w:lang w:val="sr-Latn-RS"/>
              </w:rPr>
            </w:pPr>
            <w:r w:rsidRPr="00C03E15">
              <w:rPr>
                <w:b/>
                <w:sz w:val="20"/>
                <w:szCs w:val="24"/>
                <w:lang w:val="sr-Latn-RS"/>
              </w:rPr>
              <w:t>Informacije koje se navode u budžetskoj dokumentaciji</w:t>
            </w:r>
          </w:p>
        </w:tc>
      </w:tr>
      <w:tr w:rsidR="00261842" w:rsidRPr="00C03E15" w:rsidTr="00C03E15">
        <w:tc>
          <w:tcPr>
            <w:tcW w:w="4111" w:type="dxa"/>
            <w:gridSpan w:val="2"/>
            <w:shd w:val="clear" w:color="auto" w:fill="D2EFFF"/>
          </w:tcPr>
          <w:p w:rsidR="00261842" w:rsidRPr="00C03E15" w:rsidRDefault="00261842" w:rsidP="00C03E15">
            <w:pPr>
              <w:widowControl w:val="0"/>
              <w:spacing w:line="260" w:lineRule="auto"/>
              <w:jc w:val="center"/>
              <w:rPr>
                <w:szCs w:val="24"/>
                <w:lang w:val="sr-Latn-RS"/>
              </w:rPr>
            </w:pPr>
            <w:r w:rsidRPr="00C03E15">
              <w:rPr>
                <w:b/>
                <w:sz w:val="20"/>
                <w:szCs w:val="24"/>
                <w:lang w:val="sr-Latn-RS"/>
              </w:rPr>
              <w:t>Element</w:t>
            </w:r>
          </w:p>
        </w:tc>
        <w:tc>
          <w:tcPr>
            <w:tcW w:w="1134" w:type="dxa"/>
            <w:shd w:val="clear" w:color="auto" w:fill="D2EFFF"/>
          </w:tcPr>
          <w:p w:rsidR="00261842" w:rsidRPr="00C03E15" w:rsidRDefault="00261842" w:rsidP="00C03E15">
            <w:pPr>
              <w:widowControl w:val="0"/>
              <w:spacing w:line="260" w:lineRule="auto"/>
              <w:jc w:val="center"/>
              <w:rPr>
                <w:szCs w:val="24"/>
                <w:lang w:val="sr-Latn-RS"/>
              </w:rPr>
            </w:pPr>
            <w:r w:rsidRPr="00C03E15">
              <w:rPr>
                <w:b/>
                <w:sz w:val="20"/>
                <w:szCs w:val="24"/>
                <w:lang w:val="sr-Latn-RS"/>
              </w:rPr>
              <w:t>Uključen</w:t>
            </w:r>
          </w:p>
        </w:tc>
        <w:tc>
          <w:tcPr>
            <w:tcW w:w="3863" w:type="dxa"/>
            <w:shd w:val="clear" w:color="auto" w:fill="D2EFFF"/>
          </w:tcPr>
          <w:p w:rsidR="00261842" w:rsidRPr="00C03E15" w:rsidRDefault="00261842" w:rsidP="00C03E15">
            <w:pPr>
              <w:widowControl w:val="0"/>
              <w:spacing w:line="260" w:lineRule="auto"/>
              <w:jc w:val="center"/>
              <w:rPr>
                <w:szCs w:val="24"/>
                <w:lang w:val="sr-Latn-RS"/>
              </w:rPr>
            </w:pPr>
            <w:r w:rsidRPr="00C03E15">
              <w:rPr>
                <w:b/>
                <w:sz w:val="20"/>
                <w:szCs w:val="24"/>
                <w:lang w:val="sr-Latn-RS"/>
              </w:rPr>
              <w:t>Izvor</w:t>
            </w:r>
          </w:p>
        </w:tc>
      </w:tr>
      <w:tr w:rsidR="00261842" w:rsidRPr="00025057" w:rsidTr="00C03E15">
        <w:tc>
          <w:tcPr>
            <w:tcW w:w="540" w:type="dxa"/>
          </w:tcPr>
          <w:p w:rsidR="00261842" w:rsidRPr="00C03E15" w:rsidRDefault="00261842" w:rsidP="00C03E15">
            <w:pPr>
              <w:widowControl w:val="0"/>
              <w:jc w:val="center"/>
              <w:rPr>
                <w:sz w:val="20"/>
                <w:szCs w:val="24"/>
                <w:lang w:val="sr-Latn-RS"/>
              </w:rPr>
            </w:pPr>
            <w:r w:rsidRPr="00C03E15">
              <w:rPr>
                <w:sz w:val="20"/>
                <w:szCs w:val="24"/>
                <w:lang w:val="sr-Latn-RS"/>
              </w:rPr>
              <w:t>1</w:t>
            </w:r>
          </w:p>
        </w:tc>
        <w:tc>
          <w:tcPr>
            <w:tcW w:w="3571" w:type="dxa"/>
          </w:tcPr>
          <w:p w:rsidR="00261842" w:rsidRPr="00C03E15" w:rsidRDefault="00261842" w:rsidP="00C03E15">
            <w:pPr>
              <w:widowControl w:val="0"/>
              <w:spacing w:line="260" w:lineRule="auto"/>
              <w:rPr>
                <w:szCs w:val="24"/>
                <w:lang w:val="sr-Latn-RS"/>
              </w:rPr>
            </w:pPr>
            <w:r w:rsidRPr="00C03E15">
              <w:rPr>
                <w:sz w:val="22"/>
                <w:szCs w:val="24"/>
                <w:lang w:val="sr-Latn-RS"/>
              </w:rPr>
              <w:t xml:space="preserve">Makroekonomske pretpostavke, uključujući barem procene </w:t>
            </w:r>
            <w:proofErr w:type="spellStart"/>
            <w:r w:rsidRPr="00C03E15">
              <w:rPr>
                <w:sz w:val="22"/>
                <w:szCs w:val="24"/>
                <w:lang w:val="sr-Latn-RS"/>
              </w:rPr>
              <w:t>agregatnog</w:t>
            </w:r>
            <w:proofErr w:type="spellEnd"/>
            <w:r w:rsidRPr="00C03E15">
              <w:rPr>
                <w:sz w:val="22"/>
                <w:szCs w:val="24"/>
                <w:lang w:val="sr-Latn-RS"/>
              </w:rPr>
              <w:t xml:space="preserve"> rasta, inflacije i deviznog kursa</w:t>
            </w:r>
            <w:r w:rsidRPr="00C03E15">
              <w:rPr>
                <w:rStyle w:val="FootnoteReference"/>
                <w:sz w:val="20"/>
                <w:szCs w:val="24"/>
                <w:lang w:val="sr-Latn-RS"/>
              </w:rPr>
              <w:footnoteReference w:id="4"/>
            </w:r>
          </w:p>
          <w:p w:rsidR="00261842" w:rsidRPr="00C03E15" w:rsidRDefault="00261842" w:rsidP="00C03E15">
            <w:pPr>
              <w:widowControl w:val="0"/>
              <w:spacing w:line="240" w:lineRule="auto"/>
              <w:rPr>
                <w:sz w:val="20"/>
                <w:szCs w:val="24"/>
                <w:lang w:val="sr-Latn-RS"/>
              </w:rPr>
            </w:pPr>
          </w:p>
        </w:tc>
        <w:tc>
          <w:tcPr>
            <w:tcW w:w="1134"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Da</w:t>
            </w:r>
          </w:p>
        </w:tc>
        <w:tc>
          <w:tcPr>
            <w:tcW w:w="3863" w:type="dxa"/>
          </w:tcPr>
          <w:p w:rsidR="00261842" w:rsidRPr="00C03E15" w:rsidRDefault="00261842" w:rsidP="00C03E15">
            <w:pPr>
              <w:widowControl w:val="0"/>
              <w:autoSpaceDE w:val="0"/>
              <w:autoSpaceDN w:val="0"/>
              <w:adjustRightInd w:val="0"/>
              <w:spacing w:line="260" w:lineRule="auto"/>
              <w:rPr>
                <w:szCs w:val="24"/>
                <w:lang w:val="sr-Latn-RS"/>
              </w:rPr>
            </w:pPr>
            <w:r w:rsidRPr="00C03E15">
              <w:rPr>
                <w:sz w:val="20"/>
                <w:szCs w:val="24"/>
                <w:lang w:val="sr-Latn-RS"/>
              </w:rPr>
              <w:t>Uputstvo o budžetu, Službeni glasnik</w:t>
            </w:r>
          </w:p>
        </w:tc>
      </w:tr>
      <w:tr w:rsidR="00261842" w:rsidRPr="00C03E15" w:rsidTr="00C03E15">
        <w:tc>
          <w:tcPr>
            <w:tcW w:w="540" w:type="dxa"/>
          </w:tcPr>
          <w:p w:rsidR="00261842" w:rsidRPr="00C03E15" w:rsidRDefault="00261842" w:rsidP="00C03E15">
            <w:pPr>
              <w:widowControl w:val="0"/>
              <w:jc w:val="center"/>
              <w:rPr>
                <w:sz w:val="20"/>
                <w:szCs w:val="24"/>
                <w:lang w:val="sr-Latn-RS"/>
              </w:rPr>
            </w:pPr>
            <w:r w:rsidRPr="00C03E15">
              <w:rPr>
                <w:sz w:val="20"/>
                <w:szCs w:val="24"/>
                <w:lang w:val="sr-Latn-RS"/>
              </w:rPr>
              <w:t>2</w:t>
            </w:r>
          </w:p>
        </w:tc>
        <w:tc>
          <w:tcPr>
            <w:tcW w:w="3571" w:type="dxa"/>
          </w:tcPr>
          <w:p w:rsidR="00261842" w:rsidRPr="00C03E15" w:rsidRDefault="00261842" w:rsidP="00C03E15">
            <w:pPr>
              <w:widowControl w:val="0"/>
              <w:spacing w:line="260" w:lineRule="auto"/>
              <w:rPr>
                <w:szCs w:val="24"/>
                <w:lang w:val="sr-Latn-RS"/>
              </w:rPr>
            </w:pPr>
            <w:r w:rsidRPr="00C03E15">
              <w:rPr>
                <w:sz w:val="20"/>
                <w:szCs w:val="24"/>
                <w:lang w:val="sr-Latn-RS"/>
              </w:rPr>
              <w:t>Fiskalni deficit, definisan u skladu sa GFS ili drugim međunarodno priznatim standardima</w:t>
            </w:r>
          </w:p>
        </w:tc>
        <w:tc>
          <w:tcPr>
            <w:tcW w:w="1134"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Da</w:t>
            </w:r>
          </w:p>
        </w:tc>
        <w:tc>
          <w:tcPr>
            <w:tcW w:w="3863" w:type="dxa"/>
          </w:tcPr>
          <w:p w:rsidR="00261842" w:rsidRPr="00C03E15" w:rsidRDefault="00261842" w:rsidP="00C03E15">
            <w:pPr>
              <w:pStyle w:val="Default"/>
              <w:widowControl w:val="0"/>
              <w:spacing w:line="260" w:lineRule="auto"/>
              <w:rPr>
                <w:rFonts w:ascii="SimSun"/>
                <w:lang w:val="sr-Latn-RS"/>
              </w:rPr>
            </w:pPr>
            <w:r w:rsidRPr="00C03E15">
              <w:rPr>
                <w:sz w:val="20"/>
                <w:lang w:val="sr-Latn-RS"/>
              </w:rPr>
              <w:t>Službeni glasnik</w:t>
            </w:r>
          </w:p>
        </w:tc>
      </w:tr>
      <w:tr w:rsidR="00261842" w:rsidRPr="00C03E15" w:rsidTr="00C03E15">
        <w:tc>
          <w:tcPr>
            <w:tcW w:w="540" w:type="dxa"/>
          </w:tcPr>
          <w:p w:rsidR="00261842" w:rsidRPr="00C03E15" w:rsidRDefault="00261842" w:rsidP="00C03E15">
            <w:pPr>
              <w:widowControl w:val="0"/>
              <w:jc w:val="center"/>
              <w:rPr>
                <w:sz w:val="20"/>
                <w:szCs w:val="24"/>
                <w:lang w:val="sr-Latn-RS"/>
              </w:rPr>
            </w:pPr>
            <w:r w:rsidRPr="00C03E15">
              <w:rPr>
                <w:sz w:val="20"/>
                <w:szCs w:val="24"/>
                <w:lang w:val="sr-Latn-RS"/>
              </w:rPr>
              <w:t>3</w:t>
            </w:r>
          </w:p>
        </w:tc>
        <w:tc>
          <w:tcPr>
            <w:tcW w:w="3571" w:type="dxa"/>
          </w:tcPr>
          <w:p w:rsidR="00261842" w:rsidRPr="00C03E15" w:rsidRDefault="00261842" w:rsidP="00C03E15">
            <w:pPr>
              <w:widowControl w:val="0"/>
              <w:spacing w:line="260" w:lineRule="auto"/>
              <w:rPr>
                <w:szCs w:val="24"/>
                <w:lang w:val="sr-Latn-RS"/>
              </w:rPr>
            </w:pPr>
            <w:r w:rsidRPr="00C03E15">
              <w:rPr>
                <w:sz w:val="20"/>
                <w:szCs w:val="24"/>
                <w:lang w:val="sr-Latn-RS"/>
              </w:rPr>
              <w:t>Finansiranje deficita, uz opis očekivane strukture</w:t>
            </w:r>
          </w:p>
        </w:tc>
        <w:tc>
          <w:tcPr>
            <w:tcW w:w="1134"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Da</w:t>
            </w:r>
          </w:p>
        </w:tc>
        <w:tc>
          <w:tcPr>
            <w:tcW w:w="3863" w:type="dxa"/>
          </w:tcPr>
          <w:p w:rsidR="00261842" w:rsidRPr="00C03E15" w:rsidRDefault="00261842" w:rsidP="00C03E15">
            <w:pPr>
              <w:pStyle w:val="Default"/>
              <w:widowControl w:val="0"/>
              <w:spacing w:line="260" w:lineRule="auto"/>
              <w:rPr>
                <w:rFonts w:ascii="SimSun"/>
                <w:lang w:val="sr-Latn-RS"/>
              </w:rPr>
            </w:pPr>
            <w:r w:rsidRPr="00C03E15">
              <w:rPr>
                <w:sz w:val="20"/>
                <w:lang w:val="sr-Latn-RS"/>
              </w:rPr>
              <w:t>Službeni glasnik</w:t>
            </w:r>
          </w:p>
        </w:tc>
      </w:tr>
      <w:tr w:rsidR="00261842" w:rsidRPr="00C03E15" w:rsidTr="00C03E15">
        <w:tc>
          <w:tcPr>
            <w:tcW w:w="540" w:type="dxa"/>
          </w:tcPr>
          <w:p w:rsidR="00261842" w:rsidRPr="00C03E15" w:rsidRDefault="00261842" w:rsidP="00C03E15">
            <w:pPr>
              <w:widowControl w:val="0"/>
              <w:jc w:val="center"/>
              <w:rPr>
                <w:sz w:val="20"/>
                <w:szCs w:val="24"/>
                <w:lang w:val="sr-Latn-RS"/>
              </w:rPr>
            </w:pPr>
            <w:r w:rsidRPr="00C03E15">
              <w:rPr>
                <w:sz w:val="20"/>
                <w:szCs w:val="24"/>
                <w:lang w:val="sr-Latn-RS"/>
              </w:rPr>
              <w:t>4</w:t>
            </w:r>
          </w:p>
        </w:tc>
        <w:tc>
          <w:tcPr>
            <w:tcW w:w="3571" w:type="dxa"/>
          </w:tcPr>
          <w:p w:rsidR="00261842" w:rsidRPr="00C03E15" w:rsidRDefault="00261842" w:rsidP="00C03E15">
            <w:pPr>
              <w:widowControl w:val="0"/>
              <w:spacing w:line="260" w:lineRule="auto"/>
              <w:rPr>
                <w:szCs w:val="24"/>
                <w:lang w:val="sr-Latn-RS"/>
              </w:rPr>
            </w:pPr>
            <w:r w:rsidRPr="00C03E15">
              <w:rPr>
                <w:sz w:val="20"/>
                <w:szCs w:val="24"/>
                <w:lang w:val="sr-Latn-RS"/>
              </w:rPr>
              <w:t>Stanje duga, uključujući detaljnije informacije barem za početak tekuće godine</w:t>
            </w:r>
          </w:p>
        </w:tc>
        <w:tc>
          <w:tcPr>
            <w:tcW w:w="1134"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Da</w:t>
            </w:r>
          </w:p>
        </w:tc>
        <w:tc>
          <w:tcPr>
            <w:tcW w:w="3863" w:type="dxa"/>
          </w:tcPr>
          <w:p w:rsidR="00261842" w:rsidRPr="00C03E15" w:rsidRDefault="00261842" w:rsidP="00C03E15">
            <w:pPr>
              <w:widowControl w:val="0"/>
              <w:spacing w:line="260" w:lineRule="auto"/>
              <w:rPr>
                <w:szCs w:val="24"/>
                <w:lang w:val="sr-Latn-RS"/>
              </w:rPr>
            </w:pPr>
            <w:r w:rsidRPr="00C03E15">
              <w:rPr>
                <w:sz w:val="20"/>
                <w:szCs w:val="24"/>
                <w:lang w:val="sr-Latn-RS"/>
              </w:rPr>
              <w:t>Službeni glasnik</w:t>
            </w:r>
          </w:p>
        </w:tc>
      </w:tr>
      <w:tr w:rsidR="00261842" w:rsidRPr="00025057" w:rsidTr="00C03E15">
        <w:tc>
          <w:tcPr>
            <w:tcW w:w="540" w:type="dxa"/>
          </w:tcPr>
          <w:p w:rsidR="00261842" w:rsidRPr="00C03E15" w:rsidRDefault="00261842" w:rsidP="00C03E15">
            <w:pPr>
              <w:widowControl w:val="0"/>
              <w:jc w:val="center"/>
              <w:rPr>
                <w:sz w:val="20"/>
                <w:szCs w:val="24"/>
                <w:lang w:val="sr-Latn-RS"/>
              </w:rPr>
            </w:pPr>
            <w:r w:rsidRPr="00C03E15">
              <w:rPr>
                <w:sz w:val="20"/>
                <w:szCs w:val="24"/>
                <w:lang w:val="sr-Latn-RS"/>
              </w:rPr>
              <w:t>5</w:t>
            </w:r>
          </w:p>
        </w:tc>
        <w:tc>
          <w:tcPr>
            <w:tcW w:w="3571" w:type="dxa"/>
          </w:tcPr>
          <w:p w:rsidR="00261842" w:rsidRPr="00C03E15" w:rsidRDefault="00261842" w:rsidP="00C03E15">
            <w:pPr>
              <w:widowControl w:val="0"/>
              <w:spacing w:line="260" w:lineRule="auto"/>
              <w:rPr>
                <w:szCs w:val="24"/>
                <w:lang w:val="sr-Latn-RS"/>
              </w:rPr>
            </w:pPr>
            <w:r w:rsidRPr="00C03E15">
              <w:rPr>
                <w:sz w:val="20"/>
                <w:szCs w:val="24"/>
                <w:lang w:val="sr-Latn-RS"/>
              </w:rPr>
              <w:t>Finansijska imovina, uključujući detaljnije informacije barem za početak tekuće godine</w:t>
            </w:r>
          </w:p>
        </w:tc>
        <w:tc>
          <w:tcPr>
            <w:tcW w:w="1134"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Ne</w:t>
            </w:r>
          </w:p>
        </w:tc>
        <w:tc>
          <w:tcPr>
            <w:tcW w:w="3863" w:type="dxa"/>
          </w:tcPr>
          <w:p w:rsidR="00261842" w:rsidRPr="00C03E15" w:rsidRDefault="00261842" w:rsidP="00C03E15">
            <w:pPr>
              <w:widowControl w:val="0"/>
              <w:spacing w:line="260" w:lineRule="auto"/>
              <w:rPr>
                <w:szCs w:val="24"/>
                <w:lang w:val="sr-Latn-RS"/>
              </w:rPr>
            </w:pPr>
            <w:r w:rsidRPr="00C03E15">
              <w:rPr>
                <w:sz w:val="20"/>
                <w:szCs w:val="24"/>
                <w:lang w:val="sr-Latn-RS"/>
              </w:rPr>
              <w:t>Finansijska sredstva se prijavljuju u aneksu uz finansijske izveštaje</w:t>
            </w:r>
          </w:p>
        </w:tc>
      </w:tr>
      <w:tr w:rsidR="00261842" w:rsidRPr="00C03E15" w:rsidTr="00C03E15">
        <w:tc>
          <w:tcPr>
            <w:tcW w:w="540" w:type="dxa"/>
          </w:tcPr>
          <w:p w:rsidR="00261842" w:rsidRPr="00C03E15" w:rsidRDefault="00261842" w:rsidP="00C03E15">
            <w:pPr>
              <w:widowControl w:val="0"/>
              <w:jc w:val="center"/>
              <w:rPr>
                <w:sz w:val="20"/>
                <w:szCs w:val="24"/>
                <w:lang w:val="sr-Latn-RS"/>
              </w:rPr>
            </w:pPr>
            <w:r w:rsidRPr="00C03E15">
              <w:rPr>
                <w:sz w:val="20"/>
                <w:szCs w:val="24"/>
                <w:lang w:val="sr-Latn-RS"/>
              </w:rPr>
              <w:t>6</w:t>
            </w:r>
          </w:p>
        </w:tc>
        <w:tc>
          <w:tcPr>
            <w:tcW w:w="3571" w:type="dxa"/>
          </w:tcPr>
          <w:p w:rsidR="00261842" w:rsidRPr="00C03E15" w:rsidRDefault="00261842" w:rsidP="00C03E15">
            <w:pPr>
              <w:widowControl w:val="0"/>
              <w:spacing w:line="260" w:lineRule="auto"/>
              <w:rPr>
                <w:szCs w:val="24"/>
                <w:lang w:val="sr-Latn-RS"/>
              </w:rPr>
            </w:pPr>
            <w:r w:rsidRPr="00C03E15">
              <w:rPr>
                <w:sz w:val="20"/>
                <w:szCs w:val="24"/>
                <w:lang w:val="sr-Latn-RS"/>
              </w:rPr>
              <w:t>Izvršenje budžeta za prethodnu godinu, prikazano u istom formatu kao i predloženi budžet</w:t>
            </w:r>
          </w:p>
        </w:tc>
        <w:tc>
          <w:tcPr>
            <w:tcW w:w="1134"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Ne</w:t>
            </w:r>
          </w:p>
        </w:tc>
        <w:tc>
          <w:tcPr>
            <w:tcW w:w="3863" w:type="dxa"/>
          </w:tcPr>
          <w:p w:rsidR="00261842" w:rsidRPr="00C03E15" w:rsidRDefault="00261842" w:rsidP="00C03E15">
            <w:pPr>
              <w:pStyle w:val="Default"/>
              <w:widowControl w:val="0"/>
              <w:spacing w:line="264" w:lineRule="auto"/>
              <w:rPr>
                <w:sz w:val="20"/>
                <w:lang w:val="sr-Latn-RS"/>
              </w:rPr>
            </w:pPr>
          </w:p>
        </w:tc>
      </w:tr>
      <w:tr w:rsidR="00261842" w:rsidRPr="00C03E15" w:rsidTr="00C03E15">
        <w:tc>
          <w:tcPr>
            <w:tcW w:w="540" w:type="dxa"/>
          </w:tcPr>
          <w:p w:rsidR="00261842" w:rsidRPr="00C03E15" w:rsidRDefault="00261842" w:rsidP="00C03E15">
            <w:pPr>
              <w:widowControl w:val="0"/>
              <w:jc w:val="center"/>
              <w:rPr>
                <w:sz w:val="20"/>
                <w:szCs w:val="24"/>
                <w:lang w:val="sr-Latn-RS"/>
              </w:rPr>
            </w:pPr>
            <w:r w:rsidRPr="00C03E15">
              <w:rPr>
                <w:sz w:val="20"/>
                <w:szCs w:val="24"/>
                <w:lang w:val="sr-Latn-RS"/>
              </w:rPr>
              <w:t>7</w:t>
            </w:r>
          </w:p>
        </w:tc>
        <w:tc>
          <w:tcPr>
            <w:tcW w:w="3571" w:type="dxa"/>
          </w:tcPr>
          <w:p w:rsidR="00261842" w:rsidRPr="00C03E15" w:rsidRDefault="00261842" w:rsidP="00C03E15">
            <w:pPr>
              <w:widowControl w:val="0"/>
              <w:spacing w:line="260" w:lineRule="auto"/>
              <w:rPr>
                <w:szCs w:val="24"/>
                <w:lang w:val="sr-Latn-RS"/>
              </w:rPr>
            </w:pPr>
            <w:r w:rsidRPr="00C03E15">
              <w:rPr>
                <w:sz w:val="20"/>
                <w:szCs w:val="24"/>
                <w:lang w:val="sr-Latn-RS"/>
              </w:rPr>
              <w:t>Budžet za tekuću godinu (bilo rebalans budžeta ili procena izvršenja), prikazano u istom formatu kao i predloženi budžet</w:t>
            </w:r>
          </w:p>
        </w:tc>
        <w:tc>
          <w:tcPr>
            <w:tcW w:w="1134"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Ne</w:t>
            </w:r>
          </w:p>
        </w:tc>
        <w:tc>
          <w:tcPr>
            <w:tcW w:w="3863" w:type="dxa"/>
          </w:tcPr>
          <w:p w:rsidR="00261842" w:rsidRPr="00C03E15" w:rsidRDefault="00261842" w:rsidP="00C03E15">
            <w:pPr>
              <w:widowControl w:val="0"/>
              <w:rPr>
                <w:sz w:val="20"/>
                <w:szCs w:val="24"/>
                <w:lang w:val="sr-Latn-RS"/>
              </w:rPr>
            </w:pPr>
          </w:p>
        </w:tc>
      </w:tr>
      <w:tr w:rsidR="00261842" w:rsidRPr="00C03E15" w:rsidTr="00C03E15">
        <w:tc>
          <w:tcPr>
            <w:tcW w:w="540" w:type="dxa"/>
          </w:tcPr>
          <w:p w:rsidR="00261842" w:rsidRPr="00C03E15" w:rsidRDefault="00261842" w:rsidP="00C03E15">
            <w:pPr>
              <w:widowControl w:val="0"/>
              <w:jc w:val="center"/>
              <w:rPr>
                <w:sz w:val="20"/>
                <w:szCs w:val="24"/>
                <w:lang w:val="sr-Latn-RS"/>
              </w:rPr>
            </w:pPr>
            <w:r w:rsidRPr="00C03E15">
              <w:rPr>
                <w:sz w:val="20"/>
                <w:szCs w:val="24"/>
                <w:lang w:val="sr-Latn-RS"/>
              </w:rPr>
              <w:t>8</w:t>
            </w:r>
          </w:p>
        </w:tc>
        <w:tc>
          <w:tcPr>
            <w:tcW w:w="3571" w:type="dxa"/>
          </w:tcPr>
          <w:p w:rsidR="00261842" w:rsidRPr="00C03E15" w:rsidRDefault="00261842" w:rsidP="00C03E15">
            <w:pPr>
              <w:widowControl w:val="0"/>
              <w:spacing w:line="260" w:lineRule="auto"/>
              <w:rPr>
                <w:szCs w:val="24"/>
                <w:lang w:val="sr-Latn-RS"/>
              </w:rPr>
            </w:pPr>
            <w:r w:rsidRPr="00C03E15">
              <w:rPr>
                <w:sz w:val="20"/>
                <w:szCs w:val="24"/>
                <w:lang w:val="sr-Latn-RS"/>
              </w:rPr>
              <w:t xml:space="preserve">Sumirani podaci o budžetu, za prihode i </w:t>
            </w:r>
            <w:r w:rsidRPr="00C03E15">
              <w:rPr>
                <w:sz w:val="20"/>
                <w:szCs w:val="24"/>
                <w:lang w:val="sr-Latn-RS"/>
              </w:rPr>
              <w:lastRenderedPageBreak/>
              <w:t>rashode po glavnim stavkama primenjene klasifikacije, uključujući podatke za tekuću i prethodnu godinu</w:t>
            </w:r>
          </w:p>
        </w:tc>
        <w:tc>
          <w:tcPr>
            <w:tcW w:w="1134"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lastRenderedPageBreak/>
              <w:t>Ne</w:t>
            </w:r>
          </w:p>
        </w:tc>
        <w:tc>
          <w:tcPr>
            <w:tcW w:w="3863" w:type="dxa"/>
          </w:tcPr>
          <w:p w:rsidR="00261842" w:rsidRPr="00C03E15" w:rsidRDefault="00261842" w:rsidP="00C03E15">
            <w:pPr>
              <w:widowControl w:val="0"/>
              <w:autoSpaceDE w:val="0"/>
              <w:autoSpaceDN w:val="0"/>
              <w:adjustRightInd w:val="0"/>
              <w:rPr>
                <w:sz w:val="20"/>
                <w:szCs w:val="24"/>
                <w:lang w:val="sr-Latn-RS"/>
              </w:rPr>
            </w:pPr>
          </w:p>
        </w:tc>
      </w:tr>
      <w:tr w:rsidR="00261842" w:rsidRPr="00025057" w:rsidTr="00C03E15">
        <w:tc>
          <w:tcPr>
            <w:tcW w:w="540" w:type="dxa"/>
          </w:tcPr>
          <w:p w:rsidR="00261842" w:rsidRPr="00C03E15" w:rsidRDefault="00261842" w:rsidP="00C03E15">
            <w:pPr>
              <w:widowControl w:val="0"/>
              <w:jc w:val="center"/>
              <w:rPr>
                <w:sz w:val="20"/>
                <w:szCs w:val="24"/>
                <w:lang w:val="sr-Latn-RS"/>
              </w:rPr>
            </w:pPr>
            <w:r w:rsidRPr="00C03E15">
              <w:rPr>
                <w:sz w:val="20"/>
                <w:szCs w:val="24"/>
                <w:lang w:val="sr-Latn-RS"/>
              </w:rPr>
              <w:lastRenderedPageBreak/>
              <w:t>9</w:t>
            </w:r>
          </w:p>
        </w:tc>
        <w:tc>
          <w:tcPr>
            <w:tcW w:w="3571" w:type="dxa"/>
          </w:tcPr>
          <w:p w:rsidR="00261842" w:rsidRPr="00C03E15" w:rsidRDefault="00261842" w:rsidP="00C03E15">
            <w:pPr>
              <w:widowControl w:val="0"/>
              <w:spacing w:line="260" w:lineRule="auto"/>
              <w:rPr>
                <w:szCs w:val="24"/>
                <w:lang w:val="sr-Latn-RS"/>
              </w:rPr>
            </w:pPr>
            <w:r w:rsidRPr="00C03E15">
              <w:rPr>
                <w:sz w:val="20"/>
                <w:szCs w:val="24"/>
                <w:lang w:val="sr-Latn-RS"/>
              </w:rPr>
              <w:t xml:space="preserve">Objašnjenje budžetskih implikacija </w:t>
            </w:r>
            <w:proofErr w:type="spellStart"/>
            <w:r w:rsidRPr="00C03E15">
              <w:rPr>
                <w:sz w:val="20"/>
                <w:szCs w:val="24"/>
                <w:lang w:val="sr-Latn-RS"/>
              </w:rPr>
              <w:t>novopredloženih</w:t>
            </w:r>
            <w:proofErr w:type="spellEnd"/>
            <w:r w:rsidRPr="00C03E15">
              <w:rPr>
                <w:sz w:val="20"/>
                <w:szCs w:val="24"/>
                <w:lang w:val="sr-Latn-RS"/>
              </w:rPr>
              <w:t xml:space="preserve"> inicijativa</w:t>
            </w:r>
          </w:p>
        </w:tc>
        <w:tc>
          <w:tcPr>
            <w:tcW w:w="1134"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Ne</w:t>
            </w:r>
          </w:p>
        </w:tc>
        <w:tc>
          <w:tcPr>
            <w:tcW w:w="3863" w:type="dxa"/>
          </w:tcPr>
          <w:p w:rsidR="00261842" w:rsidRPr="00C03E15" w:rsidRDefault="00261842" w:rsidP="00C03E15">
            <w:pPr>
              <w:widowControl w:val="0"/>
              <w:autoSpaceDE w:val="0"/>
              <w:autoSpaceDN w:val="0"/>
              <w:adjustRightInd w:val="0"/>
              <w:spacing w:line="260" w:lineRule="auto"/>
              <w:rPr>
                <w:szCs w:val="24"/>
                <w:lang w:val="sr-Latn-RS"/>
              </w:rPr>
            </w:pPr>
            <w:r w:rsidRPr="00C03E15">
              <w:rPr>
                <w:sz w:val="20"/>
                <w:szCs w:val="24"/>
                <w:lang w:val="sr-Latn-RS"/>
              </w:rPr>
              <w:t>Data su u obrazloženju rebalansa ako je bilo izmena tokom godine.</w:t>
            </w:r>
          </w:p>
        </w:tc>
      </w:tr>
    </w:tbl>
    <w:p w:rsidR="00261842" w:rsidRPr="001E4CDF" w:rsidRDefault="00261842">
      <w:pPr>
        <w:widowControl w:val="0"/>
        <w:autoSpaceDE w:val="0"/>
        <w:autoSpaceDN w:val="0"/>
        <w:adjustRightInd w:val="0"/>
        <w:spacing w:line="260" w:lineRule="auto"/>
        <w:rPr>
          <w:szCs w:val="24"/>
          <w:lang w:val="sr-Latn-RS"/>
        </w:rPr>
      </w:pPr>
      <w:r w:rsidRPr="001E4CDF">
        <w:rPr>
          <w:i/>
          <w:sz w:val="20"/>
          <w:szCs w:val="24"/>
          <w:lang w:val="sr-Latn-RS"/>
        </w:rPr>
        <w:t>(Izvor: Uputstvo o budžetu, Službeni glasnik i Odluka o budžetu</w:t>
      </w:r>
    </w:p>
    <w:p w:rsidR="00261842" w:rsidRPr="001E4CDF" w:rsidRDefault="00261842">
      <w:pPr>
        <w:widowControl w:val="0"/>
        <w:autoSpaceDE w:val="0"/>
        <w:autoSpaceDN w:val="0"/>
        <w:adjustRightInd w:val="0"/>
        <w:rPr>
          <w:szCs w:val="24"/>
          <w:lang w:val="sr-Latn-RS"/>
        </w:rPr>
      </w:pPr>
    </w:p>
    <w:p w:rsidR="00261842" w:rsidRPr="001E4CDF" w:rsidRDefault="00261842">
      <w:pPr>
        <w:pStyle w:val="ParagraphNumbering"/>
        <w:numPr>
          <w:ilvl w:val="0"/>
          <w:numId w:val="0"/>
        </w:numPr>
        <w:rPr>
          <w:lang w:val="sr-Latn-RS"/>
        </w:rPr>
      </w:pPr>
    </w:p>
    <w:p w:rsidR="00261842" w:rsidRPr="001E4CDF" w:rsidRDefault="00261842">
      <w:pPr>
        <w:spacing w:line="260" w:lineRule="auto"/>
        <w:rPr>
          <w:b/>
          <w:szCs w:val="24"/>
          <w:lang w:val="sr-Latn-RS"/>
        </w:rPr>
      </w:pPr>
      <w:r w:rsidRPr="001E4CDF">
        <w:rPr>
          <w:b/>
          <w:sz w:val="20"/>
          <w:szCs w:val="24"/>
          <w:lang w:val="sr-Latn-RS"/>
        </w:rPr>
        <w:t xml:space="preserve">PU-7 </w:t>
      </w:r>
      <w:r w:rsidRPr="001E4CDF">
        <w:rPr>
          <w:b/>
          <w:sz w:val="22"/>
          <w:szCs w:val="24"/>
          <w:lang w:val="sr-Latn-RS"/>
        </w:rPr>
        <w:t xml:space="preserve">Obim </w:t>
      </w:r>
      <w:proofErr w:type="spellStart"/>
      <w:r w:rsidRPr="001E4CDF">
        <w:rPr>
          <w:b/>
          <w:sz w:val="22"/>
          <w:szCs w:val="24"/>
          <w:lang w:val="sr-Latn-RS"/>
        </w:rPr>
        <w:t>neprikazanih</w:t>
      </w:r>
      <w:proofErr w:type="spellEnd"/>
      <w:r w:rsidRPr="001E4CDF">
        <w:rPr>
          <w:b/>
          <w:sz w:val="22"/>
          <w:szCs w:val="24"/>
          <w:lang w:val="sr-Latn-RS"/>
        </w:rPr>
        <w:t xml:space="preserve"> vladinih operacija</w:t>
      </w:r>
    </w:p>
    <w:p w:rsidR="00261842" w:rsidRPr="001E4CDF" w:rsidRDefault="00261842">
      <w:pPr>
        <w:autoSpaceDE w:val="0"/>
        <w:autoSpaceDN w:val="0"/>
        <w:adjustRightInd w:val="0"/>
        <w:spacing w:line="240" w:lineRule="auto"/>
        <w:rPr>
          <w:b/>
          <w:szCs w:val="24"/>
          <w:lang w:val="sr-Latn-RS"/>
        </w:rPr>
      </w:pPr>
    </w:p>
    <w:p w:rsidR="00261842" w:rsidRPr="001E4CDF" w:rsidRDefault="00261842">
      <w:pPr>
        <w:pStyle w:val="ParagraphNumbering"/>
        <w:numPr>
          <w:ilvl w:val="0"/>
          <w:numId w:val="0"/>
        </w:numPr>
        <w:spacing w:line="260" w:lineRule="auto"/>
        <w:rPr>
          <w:lang w:val="sr-Latn-RS"/>
        </w:rPr>
      </w:pPr>
      <w:r w:rsidRPr="001E4CDF">
        <w:rPr>
          <w:color w:val="000000"/>
          <w:sz w:val="22"/>
          <w:lang w:val="sr-Latn-RS"/>
        </w:rPr>
        <w:t xml:space="preserve">Ovaj indikator procenjuje da li su sve budžetske i </w:t>
      </w:r>
      <w:proofErr w:type="spellStart"/>
      <w:r w:rsidRPr="001E4CDF">
        <w:rPr>
          <w:color w:val="000000"/>
          <w:sz w:val="22"/>
          <w:lang w:val="sr-Latn-RS"/>
        </w:rPr>
        <w:t>vanbudžetske</w:t>
      </w:r>
      <w:proofErr w:type="spellEnd"/>
      <w:r w:rsidRPr="001E4CDF">
        <w:rPr>
          <w:color w:val="000000"/>
          <w:sz w:val="22"/>
          <w:lang w:val="sr-Latn-RS"/>
        </w:rPr>
        <w:t xml:space="preserve"> aktivnosti </w:t>
      </w:r>
      <w:r w:rsidRPr="001E4CDF">
        <w:rPr>
          <w:lang w:val="sr-Latn-RS"/>
        </w:rPr>
        <w:t>lokalne</w:t>
      </w:r>
      <w:r w:rsidRPr="001E4CDF">
        <w:rPr>
          <w:color w:val="000000"/>
          <w:sz w:val="22"/>
          <w:lang w:val="sr-Latn-RS"/>
        </w:rPr>
        <w:t xml:space="preserve"> vlasti uključene u budžetske procene, izveštaje o izvršenju u toku godine i finansijske izveštaje na kraju godine i druge budžetske izveštaje namenjene javnosti</w:t>
      </w:r>
      <w:r w:rsidRPr="001E4CDF">
        <w:rPr>
          <w:lang w:val="sr-Latn-RS"/>
        </w:rPr>
        <w:t xml:space="preserve">.  </w:t>
      </w:r>
      <w:r w:rsidRPr="001E4CDF">
        <w:rPr>
          <w:color w:val="000000"/>
          <w:sz w:val="22"/>
          <w:lang w:val="sr-Latn-RS"/>
        </w:rPr>
        <w:t>Ovo je potrebno da se obezbedi kompletna slika prihoda lokalne samouprave</w:t>
      </w:r>
      <w:r w:rsidRPr="001E4CDF">
        <w:rPr>
          <w:rFonts w:ascii="Arial" w:hAnsi="Arial"/>
          <w:color w:val="000000"/>
          <w:sz w:val="22"/>
          <w:lang w:val="sr-Latn-RS"/>
        </w:rPr>
        <w:t>,</w:t>
      </w:r>
      <w:r w:rsidRPr="001E4CDF">
        <w:rPr>
          <w:color w:val="000000"/>
          <w:sz w:val="22"/>
          <w:lang w:val="sr-Latn-RS"/>
        </w:rPr>
        <w:t xml:space="preserve"> rashoda u svim kategorijama i finansiranja</w:t>
      </w:r>
      <w:r w:rsidRPr="001E4CDF">
        <w:rPr>
          <w:lang w:val="sr-Latn-RS"/>
        </w:rPr>
        <w:t>. Procena ovog indikatora je zasnovana na informacijama i izveštajima koji su na raspolaganju za 2013. godinu</w:t>
      </w:r>
      <w:r w:rsidRPr="001E4CDF">
        <w:rPr>
          <w:rFonts w:ascii="Arial" w:hAnsi="Arial"/>
          <w:lang w:val="sr-Latn-RS"/>
        </w:rPr>
        <w:t>.</w:t>
      </w:r>
    </w:p>
    <w:tbl>
      <w:tblPr>
        <w:tblW w:w="89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4"/>
        <w:gridCol w:w="982"/>
        <w:gridCol w:w="3838"/>
      </w:tblGrid>
      <w:tr w:rsidR="00261842" w:rsidRPr="00025057">
        <w:trPr>
          <w:trHeight w:val="300"/>
        </w:trPr>
        <w:tc>
          <w:tcPr>
            <w:tcW w:w="4124" w:type="dxa"/>
            <w:shd w:val="clear" w:color="auto" w:fill="D2EFFF"/>
            <w:vAlign w:val="center"/>
          </w:tcPr>
          <w:p w:rsidR="00261842" w:rsidRPr="00C03E15" w:rsidRDefault="00261842">
            <w:pPr>
              <w:spacing w:line="240" w:lineRule="auto"/>
              <w:rPr>
                <w:b/>
                <w:sz w:val="20"/>
                <w:szCs w:val="24"/>
                <w:lang w:val="sr-Latn-RS"/>
              </w:rPr>
            </w:pPr>
          </w:p>
        </w:tc>
        <w:tc>
          <w:tcPr>
            <w:tcW w:w="4820" w:type="dxa"/>
            <w:gridSpan w:val="2"/>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M1)</w:t>
            </w:r>
          </w:p>
        </w:tc>
      </w:tr>
      <w:tr w:rsidR="00261842" w:rsidRPr="00C03E15">
        <w:trPr>
          <w:trHeight w:val="300"/>
        </w:trPr>
        <w:tc>
          <w:tcPr>
            <w:tcW w:w="4124" w:type="dxa"/>
            <w:shd w:val="clear" w:color="auto" w:fill="D2EFFF"/>
            <w:vAlign w:val="center"/>
            <w:hideMark/>
          </w:tcPr>
          <w:p w:rsidR="00261842" w:rsidRPr="00C03E15" w:rsidRDefault="00261842">
            <w:pPr>
              <w:spacing w:line="240" w:lineRule="auto"/>
              <w:rPr>
                <w:b/>
                <w:sz w:val="20"/>
                <w:szCs w:val="24"/>
                <w:lang w:val="sr-Latn-RS"/>
              </w:rPr>
            </w:pPr>
          </w:p>
        </w:tc>
        <w:tc>
          <w:tcPr>
            <w:tcW w:w="982" w:type="dxa"/>
            <w:shd w:val="clear" w:color="auto" w:fill="D2EFFF"/>
            <w:vAlign w:val="center"/>
            <w:hideMark/>
          </w:tcPr>
          <w:p w:rsidR="00261842" w:rsidRPr="00C03E15" w:rsidRDefault="00261842">
            <w:pPr>
              <w:spacing w:line="240" w:lineRule="auto"/>
              <w:jc w:val="center"/>
              <w:rPr>
                <w:b/>
                <w:sz w:val="20"/>
                <w:szCs w:val="24"/>
                <w:lang w:val="sr-Latn-RS"/>
              </w:rPr>
            </w:pPr>
            <w:r w:rsidRPr="00C03E15">
              <w:rPr>
                <w:b/>
                <w:sz w:val="20"/>
                <w:szCs w:val="24"/>
                <w:lang w:val="sr-Latn-RS"/>
              </w:rPr>
              <w:t>2014</w:t>
            </w:r>
          </w:p>
        </w:tc>
        <w:tc>
          <w:tcPr>
            <w:tcW w:w="3838" w:type="dxa"/>
            <w:shd w:val="clear" w:color="auto" w:fill="D2EFFF"/>
            <w:vAlign w:val="center"/>
            <w:hideMark/>
          </w:tcPr>
          <w:p w:rsidR="00261842" w:rsidRPr="00C03E15" w:rsidRDefault="00261842">
            <w:pPr>
              <w:spacing w:line="240" w:lineRule="auto"/>
              <w:jc w:val="center"/>
              <w:rPr>
                <w:szCs w:val="24"/>
                <w:lang w:val="sr-Latn-RS"/>
              </w:rPr>
            </w:pPr>
            <w:r w:rsidRPr="00C03E15">
              <w:rPr>
                <w:b/>
                <w:sz w:val="20"/>
                <w:szCs w:val="24"/>
                <w:lang w:val="sr-Latn-RS"/>
              </w:rPr>
              <w:t>Objašnjenje</w:t>
            </w:r>
          </w:p>
        </w:tc>
      </w:tr>
      <w:tr w:rsidR="00261842" w:rsidRPr="00C03E15">
        <w:trPr>
          <w:trHeight w:val="300"/>
        </w:trPr>
        <w:tc>
          <w:tcPr>
            <w:tcW w:w="4124" w:type="dxa"/>
            <w:vAlign w:val="center"/>
          </w:tcPr>
          <w:p w:rsidR="00261842" w:rsidRPr="00C03E15" w:rsidRDefault="00261842">
            <w:pPr>
              <w:spacing w:line="260" w:lineRule="auto"/>
              <w:rPr>
                <w:szCs w:val="24"/>
                <w:lang w:val="sr-Latn-RS"/>
              </w:rPr>
            </w:pPr>
            <w:r w:rsidRPr="00C03E15">
              <w:rPr>
                <w:b/>
                <w:sz w:val="20"/>
                <w:szCs w:val="24"/>
                <w:lang w:val="sr-Latn-RS"/>
              </w:rPr>
              <w:t xml:space="preserve">PU-7 </w:t>
            </w:r>
            <w:r w:rsidRPr="00C03E15">
              <w:rPr>
                <w:b/>
                <w:sz w:val="22"/>
                <w:szCs w:val="24"/>
                <w:lang w:val="sr-Latn-RS"/>
              </w:rPr>
              <w:t xml:space="preserve">Obim </w:t>
            </w:r>
            <w:proofErr w:type="spellStart"/>
            <w:r w:rsidRPr="00C03E15">
              <w:rPr>
                <w:b/>
                <w:sz w:val="22"/>
                <w:szCs w:val="24"/>
                <w:lang w:val="sr-Latn-RS"/>
              </w:rPr>
              <w:t>neprikazanih</w:t>
            </w:r>
            <w:proofErr w:type="spellEnd"/>
            <w:r w:rsidRPr="00C03E15">
              <w:rPr>
                <w:b/>
                <w:sz w:val="22"/>
                <w:szCs w:val="24"/>
                <w:lang w:val="sr-Latn-RS"/>
              </w:rPr>
              <w:t xml:space="preserve"> vladinih operacija</w:t>
            </w:r>
          </w:p>
        </w:tc>
        <w:tc>
          <w:tcPr>
            <w:tcW w:w="982" w:type="dxa"/>
          </w:tcPr>
          <w:p w:rsidR="00261842" w:rsidRPr="00C03E15" w:rsidRDefault="00261842">
            <w:pPr>
              <w:spacing w:line="240" w:lineRule="auto"/>
              <w:jc w:val="center"/>
              <w:rPr>
                <w:szCs w:val="24"/>
                <w:lang w:val="sr-Latn-RS"/>
              </w:rPr>
            </w:pPr>
            <w:r w:rsidRPr="00C03E15">
              <w:rPr>
                <w:b/>
                <w:sz w:val="20"/>
                <w:szCs w:val="24"/>
                <w:lang w:val="sr-Latn-RS"/>
              </w:rPr>
              <w:t>Ocena A</w:t>
            </w:r>
          </w:p>
        </w:tc>
        <w:tc>
          <w:tcPr>
            <w:tcW w:w="3838" w:type="dxa"/>
            <w:vAlign w:val="center"/>
          </w:tcPr>
          <w:p w:rsidR="00261842" w:rsidRPr="00C03E15" w:rsidRDefault="00261842">
            <w:pPr>
              <w:spacing w:line="240" w:lineRule="auto"/>
              <w:jc w:val="center"/>
              <w:rPr>
                <w:b/>
                <w:sz w:val="20"/>
                <w:szCs w:val="24"/>
                <w:lang w:val="sr-Latn-RS"/>
              </w:rPr>
            </w:pPr>
          </w:p>
        </w:tc>
      </w:tr>
      <w:tr w:rsidR="00261842" w:rsidRPr="00025057">
        <w:trPr>
          <w:trHeight w:val="300"/>
        </w:trPr>
        <w:tc>
          <w:tcPr>
            <w:tcW w:w="4124" w:type="dxa"/>
          </w:tcPr>
          <w:p w:rsidR="00261842" w:rsidRPr="00C03E15" w:rsidRDefault="00261842">
            <w:pPr>
              <w:spacing w:line="240" w:lineRule="auto"/>
              <w:rPr>
                <w:szCs w:val="24"/>
                <w:lang w:val="sr-Latn-RS"/>
              </w:rPr>
            </w:pPr>
            <w:r w:rsidRPr="00C03E15">
              <w:rPr>
                <w:sz w:val="20"/>
                <w:szCs w:val="24"/>
                <w:lang w:val="sr-Latn-RS"/>
              </w:rPr>
              <w:t xml:space="preserve">(i) </w:t>
            </w:r>
            <w:r w:rsidRPr="00C03E15">
              <w:rPr>
                <w:sz w:val="22"/>
                <w:szCs w:val="24"/>
                <w:lang w:val="sr-Latn-RS"/>
              </w:rPr>
              <w:t xml:space="preserve">Obim </w:t>
            </w:r>
            <w:proofErr w:type="spellStart"/>
            <w:r w:rsidRPr="00C03E15">
              <w:rPr>
                <w:sz w:val="22"/>
                <w:szCs w:val="24"/>
                <w:lang w:val="sr-Latn-RS"/>
              </w:rPr>
              <w:t>vanbudžetskih</w:t>
            </w:r>
            <w:proofErr w:type="spellEnd"/>
            <w:r w:rsidRPr="00C03E15">
              <w:rPr>
                <w:sz w:val="22"/>
                <w:szCs w:val="24"/>
                <w:lang w:val="sr-Latn-RS"/>
              </w:rPr>
              <w:t xml:space="preserve"> rashoda </w:t>
            </w:r>
            <w:r w:rsidRPr="00C03E15">
              <w:rPr>
                <w:color w:val="000000"/>
                <w:sz w:val="22"/>
                <w:szCs w:val="24"/>
                <w:lang w:val="sr-Latn-RS"/>
              </w:rPr>
              <w:t>(ne uključujući projekte koje finansiraju donatori) koji nisu prikazani, tj. nisu obuhvaćeni u finansijskim izveštajima.</w:t>
            </w:r>
          </w:p>
        </w:tc>
        <w:tc>
          <w:tcPr>
            <w:tcW w:w="982" w:type="dxa"/>
          </w:tcPr>
          <w:p w:rsidR="00261842" w:rsidRPr="00C03E15" w:rsidRDefault="00261842">
            <w:pPr>
              <w:spacing w:line="240" w:lineRule="auto"/>
              <w:jc w:val="center"/>
              <w:rPr>
                <w:szCs w:val="24"/>
                <w:lang w:val="sr-Latn-RS"/>
              </w:rPr>
            </w:pPr>
            <w:r w:rsidRPr="00C03E15">
              <w:rPr>
                <w:b/>
                <w:sz w:val="20"/>
                <w:szCs w:val="24"/>
                <w:lang w:val="sr-Latn-RS"/>
              </w:rPr>
              <w:t>A</w:t>
            </w:r>
          </w:p>
        </w:tc>
        <w:tc>
          <w:tcPr>
            <w:tcW w:w="3838" w:type="dxa"/>
          </w:tcPr>
          <w:p w:rsidR="00261842" w:rsidRPr="00C03E15" w:rsidRDefault="00261842">
            <w:pPr>
              <w:spacing w:after="60" w:line="240" w:lineRule="auto"/>
              <w:ind w:right="53"/>
              <w:jc w:val="both"/>
              <w:rPr>
                <w:szCs w:val="24"/>
                <w:lang w:val="sr-Latn-RS"/>
              </w:rPr>
            </w:pPr>
            <w:r w:rsidRPr="00C03E15">
              <w:rPr>
                <w:sz w:val="20"/>
                <w:szCs w:val="24"/>
                <w:lang w:val="sr-Latn-RS"/>
              </w:rPr>
              <w:t xml:space="preserve">Obim </w:t>
            </w:r>
            <w:proofErr w:type="spellStart"/>
            <w:r w:rsidRPr="00C03E15">
              <w:rPr>
                <w:sz w:val="20"/>
                <w:szCs w:val="24"/>
                <w:lang w:val="sr-Latn-RS"/>
              </w:rPr>
              <w:t>neprikazanih</w:t>
            </w:r>
            <w:proofErr w:type="spellEnd"/>
            <w:r w:rsidRPr="00C03E15">
              <w:rPr>
                <w:sz w:val="20"/>
                <w:szCs w:val="24"/>
                <w:lang w:val="sr-Latn-RS"/>
              </w:rPr>
              <w:t xml:space="preserve"> </w:t>
            </w:r>
            <w:proofErr w:type="spellStart"/>
            <w:r w:rsidRPr="00C03E15">
              <w:rPr>
                <w:sz w:val="20"/>
                <w:szCs w:val="24"/>
                <w:lang w:val="sr-Latn-RS"/>
              </w:rPr>
              <w:t>vanbudžetskih</w:t>
            </w:r>
            <w:proofErr w:type="spellEnd"/>
            <w:r w:rsidRPr="00C03E15">
              <w:rPr>
                <w:sz w:val="20"/>
                <w:szCs w:val="24"/>
                <w:lang w:val="sr-Latn-RS"/>
              </w:rPr>
              <w:t xml:space="preserve"> rashoda (osim sredstava od donatorskih projekata) je beznačajan (manje od 1% od ukupnih rashoda). </w:t>
            </w:r>
          </w:p>
        </w:tc>
      </w:tr>
      <w:tr w:rsidR="00261842" w:rsidRPr="00C03E15">
        <w:trPr>
          <w:trHeight w:val="300"/>
        </w:trPr>
        <w:tc>
          <w:tcPr>
            <w:tcW w:w="4124" w:type="dxa"/>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Podaci o prihodima/rashodima po osnovu projekata koje finansiraju donatori koji se unose u budžetske izveštaje</w:t>
            </w:r>
          </w:p>
        </w:tc>
        <w:tc>
          <w:tcPr>
            <w:tcW w:w="982" w:type="dxa"/>
          </w:tcPr>
          <w:p w:rsidR="00261842" w:rsidRPr="00C03E15" w:rsidRDefault="00261842">
            <w:pPr>
              <w:spacing w:line="240" w:lineRule="auto"/>
              <w:jc w:val="center"/>
              <w:rPr>
                <w:szCs w:val="24"/>
                <w:lang w:val="sr-Latn-RS"/>
              </w:rPr>
            </w:pPr>
            <w:r w:rsidRPr="00C03E15">
              <w:rPr>
                <w:b/>
                <w:sz w:val="20"/>
                <w:szCs w:val="24"/>
                <w:lang w:val="sr-Latn-RS"/>
              </w:rPr>
              <w:t>NP</w:t>
            </w:r>
          </w:p>
        </w:tc>
        <w:tc>
          <w:tcPr>
            <w:tcW w:w="3838" w:type="dxa"/>
          </w:tcPr>
          <w:p w:rsidR="00261842" w:rsidRPr="00C03E15" w:rsidRDefault="00261842">
            <w:pPr>
              <w:spacing w:line="240" w:lineRule="auto"/>
              <w:rPr>
                <w:sz w:val="20"/>
                <w:szCs w:val="24"/>
                <w:lang w:val="sr-Latn-RS"/>
              </w:rPr>
            </w:pPr>
          </w:p>
        </w:tc>
      </w:tr>
    </w:tbl>
    <w:p w:rsidR="00261842" w:rsidRPr="001E4CDF" w:rsidRDefault="00261842">
      <w:pPr>
        <w:autoSpaceDE w:val="0"/>
        <w:autoSpaceDN w:val="0"/>
        <w:adjustRightInd w:val="0"/>
        <w:rPr>
          <w:b/>
          <w:szCs w:val="24"/>
          <w:lang w:val="sr-Latn-RS"/>
        </w:rPr>
      </w:pPr>
    </w:p>
    <w:p w:rsidR="00261842" w:rsidRPr="001E4CDF" w:rsidRDefault="00261842">
      <w:pPr>
        <w:autoSpaceDE w:val="0"/>
        <w:autoSpaceDN w:val="0"/>
        <w:adjustRightInd w:val="0"/>
        <w:spacing w:line="260" w:lineRule="auto"/>
        <w:rPr>
          <w:b/>
          <w:szCs w:val="24"/>
          <w:lang w:val="sr-Latn-RS"/>
        </w:rPr>
      </w:pPr>
      <w:r w:rsidRPr="001E4CDF">
        <w:rPr>
          <w:b/>
          <w:sz w:val="20"/>
          <w:szCs w:val="24"/>
          <w:lang w:val="sr-Latn-RS"/>
        </w:rPr>
        <w:t xml:space="preserve">(i) </w:t>
      </w:r>
      <w:r w:rsidRPr="001E4CDF">
        <w:rPr>
          <w:b/>
          <w:sz w:val="22"/>
          <w:szCs w:val="24"/>
          <w:lang w:val="sr-Latn-RS"/>
        </w:rPr>
        <w:t xml:space="preserve">Obim </w:t>
      </w:r>
      <w:proofErr w:type="spellStart"/>
      <w:r w:rsidRPr="001E4CDF">
        <w:rPr>
          <w:b/>
          <w:sz w:val="22"/>
          <w:szCs w:val="24"/>
          <w:lang w:val="sr-Latn-RS"/>
        </w:rPr>
        <w:t>vanbudžetskih</w:t>
      </w:r>
      <w:proofErr w:type="spellEnd"/>
      <w:r w:rsidRPr="001E4CDF">
        <w:rPr>
          <w:b/>
          <w:sz w:val="22"/>
          <w:szCs w:val="24"/>
          <w:lang w:val="sr-Latn-RS"/>
        </w:rPr>
        <w:t xml:space="preserve"> rashoda (osim projekata koje finansiraju donatori) koji se ne izveštavaju, odn. nisu uključeni u budžetske izveštaje</w:t>
      </w:r>
    </w:p>
    <w:p w:rsidR="00261842" w:rsidRPr="001E4CDF" w:rsidRDefault="00261842">
      <w:pPr>
        <w:autoSpaceDE w:val="0"/>
        <w:autoSpaceDN w:val="0"/>
        <w:adjustRightInd w:val="0"/>
        <w:rPr>
          <w:szCs w:val="24"/>
          <w:lang w:val="sr-Latn-RS"/>
        </w:rPr>
      </w:pPr>
    </w:p>
    <w:p w:rsidR="00261842" w:rsidRPr="001E4CDF" w:rsidRDefault="00261842">
      <w:pPr>
        <w:autoSpaceDE w:val="0"/>
        <w:autoSpaceDN w:val="0"/>
        <w:adjustRightInd w:val="0"/>
        <w:spacing w:line="260" w:lineRule="auto"/>
        <w:rPr>
          <w:szCs w:val="24"/>
          <w:lang w:val="sr-Latn-RS"/>
        </w:rPr>
      </w:pPr>
      <w:r w:rsidRPr="001E4CDF">
        <w:rPr>
          <w:sz w:val="22"/>
          <w:szCs w:val="24"/>
          <w:lang w:val="sr-Latn-RS"/>
        </w:rPr>
        <w:t xml:space="preserve">Ne postoje </w:t>
      </w:r>
      <w:proofErr w:type="spellStart"/>
      <w:r w:rsidRPr="001E4CDF">
        <w:rPr>
          <w:sz w:val="22"/>
          <w:szCs w:val="24"/>
          <w:lang w:val="sr-Latn-RS"/>
        </w:rPr>
        <w:t>vanbudžetski</w:t>
      </w:r>
      <w:proofErr w:type="spellEnd"/>
      <w:r w:rsidRPr="001E4CDF">
        <w:rPr>
          <w:sz w:val="22"/>
          <w:szCs w:val="24"/>
          <w:lang w:val="sr-Latn-RS"/>
        </w:rPr>
        <w:t xml:space="preserve"> fondovi - svi prihodi i rashodi su evidentirani u budžetu i izveštajima</w:t>
      </w:r>
      <w:r w:rsidRPr="001E4CDF">
        <w:rPr>
          <w:szCs w:val="24"/>
          <w:lang w:val="sr-Latn-RS"/>
        </w:rPr>
        <w:t>.  Ovo je u skladu sa Zakonom o budžetskom sistemu</w:t>
      </w:r>
      <w:r w:rsidRPr="001E4CDF">
        <w:rPr>
          <w:rStyle w:val="FootnoteReference"/>
          <w:szCs w:val="24"/>
          <w:lang w:val="sr-Latn-RS"/>
        </w:rPr>
        <w:footnoteReference w:id="5"/>
      </w:r>
      <w:r w:rsidRPr="001E4CDF">
        <w:rPr>
          <w:szCs w:val="24"/>
          <w:lang w:val="sr-Latn-RS"/>
        </w:rPr>
        <w:t>.</w:t>
      </w:r>
    </w:p>
    <w:p w:rsidR="00261842" w:rsidRPr="001E4CDF" w:rsidRDefault="00261842">
      <w:pPr>
        <w:autoSpaceDE w:val="0"/>
        <w:autoSpaceDN w:val="0"/>
        <w:adjustRightInd w:val="0"/>
        <w:rPr>
          <w:szCs w:val="24"/>
          <w:lang w:val="sr-Latn-RS"/>
        </w:rPr>
      </w:pPr>
    </w:p>
    <w:p w:rsidR="00261842" w:rsidRPr="001E4CDF" w:rsidRDefault="00261842">
      <w:pPr>
        <w:autoSpaceDE w:val="0"/>
        <w:autoSpaceDN w:val="0"/>
        <w:adjustRightInd w:val="0"/>
        <w:spacing w:line="260" w:lineRule="auto"/>
        <w:rPr>
          <w:szCs w:val="24"/>
          <w:lang w:val="sr-Latn-RS"/>
        </w:rPr>
      </w:pPr>
      <w:r w:rsidRPr="001E4CDF">
        <w:rPr>
          <w:szCs w:val="24"/>
          <w:lang w:val="sr-Latn-RS"/>
        </w:rPr>
        <w:t>Ocena A</w:t>
      </w:r>
    </w:p>
    <w:p w:rsidR="00261842" w:rsidRPr="001E4CDF" w:rsidRDefault="00261842">
      <w:pPr>
        <w:autoSpaceDE w:val="0"/>
        <w:autoSpaceDN w:val="0"/>
        <w:adjustRightInd w:val="0"/>
        <w:spacing w:line="260" w:lineRule="auto"/>
        <w:rPr>
          <w:b/>
          <w:szCs w:val="24"/>
          <w:lang w:val="sr-Latn-RS"/>
        </w:rPr>
      </w:pPr>
      <w:r w:rsidRPr="001E4CDF">
        <w:rPr>
          <w:b/>
          <w:szCs w:val="24"/>
          <w:lang w:val="sr-Latn-RS"/>
        </w:rPr>
        <w:t xml:space="preserve"> (</w:t>
      </w:r>
      <w:proofErr w:type="spellStart"/>
      <w:r w:rsidRPr="001E4CDF">
        <w:rPr>
          <w:b/>
          <w:szCs w:val="24"/>
          <w:lang w:val="sr-Latn-RS"/>
        </w:rPr>
        <w:t>ii</w:t>
      </w:r>
      <w:proofErr w:type="spellEnd"/>
      <w:r w:rsidRPr="001E4CDF">
        <w:rPr>
          <w:b/>
          <w:szCs w:val="24"/>
          <w:lang w:val="sr-Latn-RS"/>
        </w:rPr>
        <w:t>) Podaci o prihodima/rashodima po osnovu projekata koje finansiraju donatori koji se unose u budžetske izveštaje</w:t>
      </w:r>
    </w:p>
    <w:p w:rsidR="00261842" w:rsidRPr="001E4CDF" w:rsidRDefault="00261842">
      <w:pPr>
        <w:autoSpaceDE w:val="0"/>
        <w:autoSpaceDN w:val="0"/>
        <w:adjustRightInd w:val="0"/>
        <w:rPr>
          <w:b/>
          <w:szCs w:val="24"/>
          <w:lang w:val="sr-Latn-RS"/>
        </w:rPr>
      </w:pPr>
    </w:p>
    <w:p w:rsidR="00261842" w:rsidRPr="001E4CDF" w:rsidRDefault="00261842">
      <w:pPr>
        <w:pStyle w:val="ParagraphNumbering"/>
        <w:numPr>
          <w:ilvl w:val="0"/>
          <w:numId w:val="0"/>
        </w:numPr>
        <w:spacing w:line="260" w:lineRule="auto"/>
        <w:rPr>
          <w:lang w:val="sr-Latn-RS"/>
        </w:rPr>
      </w:pPr>
      <w:r w:rsidRPr="001E4CDF">
        <w:rPr>
          <w:sz w:val="20"/>
          <w:lang w:val="sr-Latn-RS"/>
        </w:rPr>
        <w:t>Opština nema projekata finansiranih od strane donatora, pa nema informacija koji bi bile  uključene u budžet i izveštaje</w:t>
      </w:r>
      <w:r w:rsidRPr="001E4CDF">
        <w:rPr>
          <w:lang w:val="sr-Latn-RS"/>
        </w:rPr>
        <w:t>.  Procedura predviđa da bi takvi donatorski projekti (kada bi postojali) bili uneti u budžet.  Nije primenljivo</w:t>
      </w:r>
    </w:p>
    <w:p w:rsidR="00261842" w:rsidRPr="001E4CDF" w:rsidRDefault="00261842">
      <w:pPr>
        <w:spacing w:line="260" w:lineRule="auto"/>
        <w:rPr>
          <w:b/>
          <w:szCs w:val="24"/>
          <w:lang w:val="sr-Latn-RS"/>
        </w:rPr>
      </w:pPr>
      <w:r w:rsidRPr="001E4CDF">
        <w:rPr>
          <w:b/>
          <w:szCs w:val="24"/>
          <w:lang w:val="sr-Latn-RS"/>
        </w:rPr>
        <w:t>PU-8 Transparentnost fiskalnih odnosa između nivoa vlasti</w:t>
      </w:r>
    </w:p>
    <w:p w:rsidR="00261842" w:rsidRPr="001E4CDF" w:rsidRDefault="00261842">
      <w:pPr>
        <w:rPr>
          <w:szCs w:val="24"/>
          <w:lang w:val="sr-Latn-RS"/>
        </w:rPr>
      </w:pPr>
    </w:p>
    <w:p w:rsidR="00261842" w:rsidRPr="001E4CDF" w:rsidRDefault="00261842">
      <w:pPr>
        <w:pStyle w:val="ParagraphNumbering"/>
        <w:numPr>
          <w:ilvl w:val="0"/>
          <w:numId w:val="0"/>
        </w:numPr>
        <w:spacing w:line="260" w:lineRule="auto"/>
        <w:rPr>
          <w:lang w:val="sr-Latn-RS"/>
        </w:rPr>
      </w:pPr>
      <w:r w:rsidRPr="001E4CDF">
        <w:rPr>
          <w:lang w:val="sr-Latn-RS"/>
        </w:rPr>
        <w:t>Ovaj indikator se ne primenjuje jer nema nižeg ispod nivoa opštine.</w:t>
      </w:r>
    </w:p>
    <w:tbl>
      <w:tblPr>
        <w:tblW w:w="89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4"/>
        <w:gridCol w:w="982"/>
        <w:gridCol w:w="3838"/>
      </w:tblGrid>
      <w:tr w:rsidR="00261842" w:rsidRPr="00025057">
        <w:trPr>
          <w:trHeight w:val="300"/>
        </w:trPr>
        <w:tc>
          <w:tcPr>
            <w:tcW w:w="4124" w:type="dxa"/>
            <w:shd w:val="clear" w:color="auto" w:fill="D2EFFF"/>
            <w:vAlign w:val="center"/>
          </w:tcPr>
          <w:p w:rsidR="00261842" w:rsidRPr="00C03E15" w:rsidRDefault="00261842">
            <w:pPr>
              <w:spacing w:line="240" w:lineRule="auto"/>
              <w:rPr>
                <w:b/>
                <w:sz w:val="20"/>
                <w:szCs w:val="24"/>
                <w:lang w:val="sr-Latn-RS"/>
              </w:rPr>
            </w:pPr>
          </w:p>
        </w:tc>
        <w:tc>
          <w:tcPr>
            <w:tcW w:w="4820" w:type="dxa"/>
            <w:gridSpan w:val="2"/>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M1)</w:t>
            </w:r>
          </w:p>
        </w:tc>
      </w:tr>
      <w:tr w:rsidR="00261842" w:rsidRPr="00C03E15">
        <w:trPr>
          <w:trHeight w:val="300"/>
        </w:trPr>
        <w:tc>
          <w:tcPr>
            <w:tcW w:w="4124" w:type="dxa"/>
            <w:shd w:val="clear" w:color="auto" w:fill="D2EFFF"/>
            <w:vAlign w:val="center"/>
            <w:hideMark/>
          </w:tcPr>
          <w:p w:rsidR="00261842" w:rsidRPr="00C03E15" w:rsidRDefault="00261842">
            <w:pPr>
              <w:spacing w:line="240" w:lineRule="auto"/>
              <w:rPr>
                <w:b/>
                <w:sz w:val="20"/>
                <w:szCs w:val="24"/>
                <w:lang w:val="sr-Latn-RS"/>
              </w:rPr>
            </w:pPr>
          </w:p>
        </w:tc>
        <w:tc>
          <w:tcPr>
            <w:tcW w:w="982" w:type="dxa"/>
            <w:shd w:val="clear" w:color="auto" w:fill="D2EFFF"/>
            <w:vAlign w:val="center"/>
            <w:hideMark/>
          </w:tcPr>
          <w:p w:rsidR="00261842" w:rsidRPr="00C03E15" w:rsidRDefault="00261842">
            <w:pPr>
              <w:spacing w:line="240" w:lineRule="auto"/>
              <w:jc w:val="center"/>
              <w:rPr>
                <w:b/>
                <w:sz w:val="20"/>
                <w:szCs w:val="24"/>
                <w:lang w:val="sr-Latn-RS"/>
              </w:rPr>
            </w:pPr>
            <w:r w:rsidRPr="00C03E15">
              <w:rPr>
                <w:b/>
                <w:sz w:val="20"/>
                <w:szCs w:val="24"/>
                <w:lang w:val="sr-Latn-RS"/>
              </w:rPr>
              <w:t>2014</w:t>
            </w:r>
          </w:p>
        </w:tc>
        <w:tc>
          <w:tcPr>
            <w:tcW w:w="3838" w:type="dxa"/>
            <w:shd w:val="clear" w:color="auto" w:fill="D2EFFF"/>
            <w:vAlign w:val="center"/>
            <w:hideMark/>
          </w:tcPr>
          <w:p w:rsidR="00261842" w:rsidRPr="00C03E15" w:rsidRDefault="00261842">
            <w:pPr>
              <w:spacing w:line="240" w:lineRule="auto"/>
              <w:jc w:val="center"/>
              <w:rPr>
                <w:szCs w:val="24"/>
                <w:lang w:val="sr-Latn-RS"/>
              </w:rPr>
            </w:pPr>
            <w:r w:rsidRPr="00C03E15">
              <w:rPr>
                <w:b/>
                <w:sz w:val="20"/>
                <w:szCs w:val="24"/>
                <w:lang w:val="sr-Latn-RS"/>
              </w:rPr>
              <w:t>Objašnjenje</w:t>
            </w:r>
          </w:p>
        </w:tc>
      </w:tr>
      <w:tr w:rsidR="00261842" w:rsidRPr="00C03E15">
        <w:trPr>
          <w:trHeight w:val="300"/>
        </w:trPr>
        <w:tc>
          <w:tcPr>
            <w:tcW w:w="4124" w:type="dxa"/>
          </w:tcPr>
          <w:p w:rsidR="00261842" w:rsidRPr="00C03E15" w:rsidRDefault="00261842">
            <w:pPr>
              <w:spacing w:line="260" w:lineRule="auto"/>
              <w:rPr>
                <w:b/>
                <w:sz w:val="20"/>
                <w:szCs w:val="24"/>
                <w:lang w:val="sr-Latn-RS"/>
              </w:rPr>
            </w:pPr>
            <w:r w:rsidRPr="00C03E15">
              <w:rPr>
                <w:b/>
                <w:sz w:val="20"/>
                <w:szCs w:val="24"/>
                <w:lang w:val="sr-Latn-RS"/>
              </w:rPr>
              <w:t>PU-8 Transparentnost fiskalnih odnosa između nivoa vlasti</w:t>
            </w:r>
          </w:p>
          <w:p w:rsidR="00261842" w:rsidRPr="00C03E15" w:rsidRDefault="00261842">
            <w:pPr>
              <w:spacing w:line="240" w:lineRule="auto"/>
              <w:rPr>
                <w:sz w:val="20"/>
                <w:szCs w:val="24"/>
                <w:lang w:val="sr-Latn-RS"/>
              </w:rPr>
            </w:pPr>
          </w:p>
        </w:tc>
        <w:tc>
          <w:tcPr>
            <w:tcW w:w="982" w:type="dxa"/>
          </w:tcPr>
          <w:p w:rsidR="00261842" w:rsidRPr="00C03E15" w:rsidRDefault="00261842">
            <w:pPr>
              <w:spacing w:line="240" w:lineRule="auto"/>
              <w:jc w:val="center"/>
              <w:rPr>
                <w:szCs w:val="24"/>
                <w:lang w:val="sr-Latn-RS"/>
              </w:rPr>
            </w:pPr>
            <w:r w:rsidRPr="00C03E15">
              <w:rPr>
                <w:b/>
                <w:sz w:val="20"/>
                <w:szCs w:val="24"/>
                <w:lang w:val="sr-Latn-RS"/>
              </w:rPr>
              <w:t>NP</w:t>
            </w:r>
          </w:p>
        </w:tc>
        <w:tc>
          <w:tcPr>
            <w:tcW w:w="3838" w:type="dxa"/>
          </w:tcPr>
          <w:p w:rsidR="00261842" w:rsidRPr="00C03E15" w:rsidRDefault="00261842">
            <w:pPr>
              <w:spacing w:line="240" w:lineRule="auto"/>
              <w:jc w:val="center"/>
              <w:rPr>
                <w:sz w:val="20"/>
                <w:szCs w:val="24"/>
                <w:lang w:val="sr-Latn-RS"/>
              </w:rPr>
            </w:pPr>
          </w:p>
        </w:tc>
      </w:tr>
      <w:tr w:rsidR="00261842" w:rsidRPr="00C03E15">
        <w:trPr>
          <w:trHeight w:val="300"/>
        </w:trPr>
        <w:tc>
          <w:tcPr>
            <w:tcW w:w="4124" w:type="dxa"/>
          </w:tcPr>
          <w:p w:rsidR="00261842" w:rsidRPr="00C03E15" w:rsidRDefault="00261842">
            <w:pPr>
              <w:spacing w:line="240" w:lineRule="auto"/>
              <w:rPr>
                <w:szCs w:val="24"/>
                <w:lang w:val="sr-Latn-RS"/>
              </w:rPr>
            </w:pPr>
            <w:r w:rsidRPr="00C03E15">
              <w:rPr>
                <w:sz w:val="20"/>
                <w:szCs w:val="24"/>
                <w:lang w:val="sr-Latn-RS"/>
              </w:rPr>
              <w:t>(i) Transparentan sistem zasnovan na pravilima za horizontalnu raspodelu nenamenskih i namenskih transfera od centralne vlade za lokalne samouprave (i raspodela planirana u budžetu i stvarna raspodela</w:t>
            </w:r>
          </w:p>
        </w:tc>
        <w:tc>
          <w:tcPr>
            <w:tcW w:w="982" w:type="dxa"/>
          </w:tcPr>
          <w:p w:rsidR="00261842" w:rsidRPr="00C03E15" w:rsidRDefault="00261842">
            <w:pPr>
              <w:spacing w:line="240" w:lineRule="auto"/>
              <w:jc w:val="center"/>
              <w:rPr>
                <w:szCs w:val="24"/>
                <w:lang w:val="sr-Latn-RS"/>
              </w:rPr>
            </w:pPr>
            <w:r w:rsidRPr="00C03E15">
              <w:rPr>
                <w:sz w:val="20"/>
                <w:szCs w:val="24"/>
                <w:lang w:val="sr-Latn-RS"/>
              </w:rPr>
              <w:t>NP</w:t>
            </w:r>
          </w:p>
        </w:tc>
        <w:tc>
          <w:tcPr>
            <w:tcW w:w="3838" w:type="dxa"/>
          </w:tcPr>
          <w:p w:rsidR="00261842" w:rsidRPr="00C03E15" w:rsidRDefault="00261842">
            <w:pPr>
              <w:spacing w:line="240" w:lineRule="auto"/>
              <w:jc w:val="center"/>
              <w:rPr>
                <w:sz w:val="20"/>
                <w:szCs w:val="24"/>
                <w:lang w:val="sr-Latn-RS"/>
              </w:rPr>
            </w:pPr>
          </w:p>
        </w:tc>
      </w:tr>
      <w:tr w:rsidR="00261842" w:rsidRPr="00C03E15">
        <w:trPr>
          <w:trHeight w:val="300"/>
        </w:trPr>
        <w:tc>
          <w:tcPr>
            <w:tcW w:w="4124" w:type="dxa"/>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xml:space="preserve">) </w:t>
            </w:r>
            <w:proofErr w:type="spellStart"/>
            <w:r w:rsidRPr="00C03E15">
              <w:rPr>
                <w:sz w:val="20"/>
                <w:szCs w:val="24"/>
                <w:lang w:val="sr-Latn-RS"/>
              </w:rPr>
              <w:t>Blagovremenost</w:t>
            </w:r>
            <w:proofErr w:type="spellEnd"/>
            <w:r w:rsidRPr="00C03E15">
              <w:rPr>
                <w:sz w:val="20"/>
                <w:szCs w:val="24"/>
                <w:lang w:val="sr-Latn-RS"/>
              </w:rPr>
              <w:t xml:space="preserve"> pouzdanih informacija lokalnim samoupravama o sredstvima opredeljenim od centralne vlasti za naredne godine.</w:t>
            </w:r>
          </w:p>
        </w:tc>
        <w:tc>
          <w:tcPr>
            <w:tcW w:w="982" w:type="dxa"/>
          </w:tcPr>
          <w:p w:rsidR="00261842" w:rsidRPr="00C03E15" w:rsidRDefault="00261842">
            <w:pPr>
              <w:spacing w:line="240" w:lineRule="auto"/>
              <w:jc w:val="center"/>
              <w:rPr>
                <w:szCs w:val="24"/>
                <w:lang w:val="sr-Latn-RS"/>
              </w:rPr>
            </w:pPr>
            <w:r w:rsidRPr="00C03E15">
              <w:rPr>
                <w:sz w:val="20"/>
                <w:szCs w:val="24"/>
                <w:lang w:val="sr-Latn-RS"/>
              </w:rPr>
              <w:t>NP</w:t>
            </w:r>
          </w:p>
        </w:tc>
        <w:tc>
          <w:tcPr>
            <w:tcW w:w="3838" w:type="dxa"/>
          </w:tcPr>
          <w:p w:rsidR="00261842" w:rsidRPr="00C03E15" w:rsidRDefault="00261842">
            <w:pPr>
              <w:spacing w:line="240" w:lineRule="auto"/>
              <w:jc w:val="center"/>
              <w:rPr>
                <w:sz w:val="20"/>
                <w:szCs w:val="24"/>
                <w:lang w:val="sr-Latn-RS"/>
              </w:rPr>
            </w:pPr>
          </w:p>
        </w:tc>
      </w:tr>
    </w:tbl>
    <w:p w:rsidR="00261842" w:rsidRPr="001E4CDF" w:rsidRDefault="00261842">
      <w:pPr>
        <w:rPr>
          <w:szCs w:val="24"/>
          <w:lang w:val="sr-Latn-RS"/>
        </w:rPr>
      </w:pPr>
    </w:p>
    <w:p w:rsidR="00261842" w:rsidRPr="001E4CDF" w:rsidRDefault="00261842">
      <w:pPr>
        <w:spacing w:line="260" w:lineRule="auto"/>
        <w:rPr>
          <w:b/>
          <w:szCs w:val="24"/>
          <w:lang w:val="sr-Latn-RS"/>
        </w:rPr>
      </w:pPr>
      <w:r w:rsidRPr="001E4CDF">
        <w:rPr>
          <w:b/>
          <w:sz w:val="20"/>
          <w:szCs w:val="24"/>
          <w:lang w:val="sr-Latn-RS"/>
        </w:rPr>
        <w:t xml:space="preserve">PU–9 </w:t>
      </w:r>
      <w:r w:rsidRPr="001E4CDF">
        <w:rPr>
          <w:b/>
          <w:sz w:val="22"/>
          <w:szCs w:val="24"/>
          <w:lang w:val="sr-Latn-RS"/>
        </w:rPr>
        <w:t>Nadzor ukupnog fiskalnog rizika od drugih organizacija javnog sektora</w:t>
      </w:r>
    </w:p>
    <w:p w:rsidR="00261842" w:rsidRPr="001E4CDF" w:rsidRDefault="00261842">
      <w:pPr>
        <w:autoSpaceDE w:val="0"/>
        <w:autoSpaceDN w:val="0"/>
        <w:adjustRightInd w:val="0"/>
        <w:rPr>
          <w:szCs w:val="24"/>
          <w:lang w:val="sr-Latn-RS"/>
        </w:rPr>
      </w:pPr>
    </w:p>
    <w:tbl>
      <w:tblPr>
        <w:tblW w:w="894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4"/>
        <w:gridCol w:w="982"/>
        <w:gridCol w:w="3838"/>
      </w:tblGrid>
      <w:tr w:rsidR="00261842" w:rsidRPr="00025057">
        <w:trPr>
          <w:trHeight w:val="300"/>
        </w:trPr>
        <w:tc>
          <w:tcPr>
            <w:tcW w:w="4124" w:type="dxa"/>
            <w:shd w:val="clear" w:color="auto" w:fill="D2EFFF"/>
            <w:vAlign w:val="center"/>
          </w:tcPr>
          <w:p w:rsidR="00261842" w:rsidRPr="00C03E15" w:rsidRDefault="00261842">
            <w:pPr>
              <w:spacing w:line="240" w:lineRule="auto"/>
              <w:rPr>
                <w:b/>
                <w:sz w:val="20"/>
                <w:szCs w:val="24"/>
                <w:lang w:val="sr-Latn-RS"/>
              </w:rPr>
            </w:pPr>
          </w:p>
        </w:tc>
        <w:tc>
          <w:tcPr>
            <w:tcW w:w="4820" w:type="dxa"/>
            <w:gridSpan w:val="2"/>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M1)</w:t>
            </w:r>
          </w:p>
        </w:tc>
      </w:tr>
      <w:tr w:rsidR="00261842" w:rsidRPr="00C03E15">
        <w:trPr>
          <w:trHeight w:val="300"/>
        </w:trPr>
        <w:tc>
          <w:tcPr>
            <w:tcW w:w="4124" w:type="dxa"/>
            <w:shd w:val="clear" w:color="auto" w:fill="D2EFFF"/>
            <w:vAlign w:val="center"/>
            <w:hideMark/>
          </w:tcPr>
          <w:p w:rsidR="00261842" w:rsidRPr="00C03E15" w:rsidRDefault="00261842">
            <w:pPr>
              <w:spacing w:line="240" w:lineRule="auto"/>
              <w:rPr>
                <w:b/>
                <w:sz w:val="20"/>
                <w:szCs w:val="24"/>
                <w:lang w:val="sr-Latn-RS"/>
              </w:rPr>
            </w:pPr>
          </w:p>
        </w:tc>
        <w:tc>
          <w:tcPr>
            <w:tcW w:w="982" w:type="dxa"/>
            <w:shd w:val="clear" w:color="auto" w:fill="D2EFFF"/>
            <w:hideMark/>
          </w:tcPr>
          <w:p w:rsidR="00261842" w:rsidRPr="00C03E15" w:rsidRDefault="00261842">
            <w:pPr>
              <w:spacing w:line="240" w:lineRule="auto"/>
              <w:jc w:val="center"/>
              <w:rPr>
                <w:b/>
                <w:sz w:val="20"/>
                <w:szCs w:val="24"/>
                <w:lang w:val="sr-Latn-RS"/>
              </w:rPr>
            </w:pPr>
            <w:r w:rsidRPr="00C03E15">
              <w:rPr>
                <w:b/>
                <w:sz w:val="20"/>
                <w:szCs w:val="24"/>
                <w:lang w:val="sr-Latn-RS"/>
              </w:rPr>
              <w:t>2014</w:t>
            </w:r>
          </w:p>
        </w:tc>
        <w:tc>
          <w:tcPr>
            <w:tcW w:w="3838" w:type="dxa"/>
            <w:shd w:val="clear" w:color="auto" w:fill="D2EFFF"/>
            <w:vAlign w:val="center"/>
            <w:hideMark/>
          </w:tcPr>
          <w:p w:rsidR="00261842" w:rsidRPr="00C03E15" w:rsidRDefault="00261842">
            <w:pPr>
              <w:spacing w:line="240" w:lineRule="auto"/>
              <w:jc w:val="center"/>
              <w:rPr>
                <w:szCs w:val="24"/>
                <w:lang w:val="sr-Latn-RS"/>
              </w:rPr>
            </w:pPr>
            <w:r w:rsidRPr="00C03E15">
              <w:rPr>
                <w:b/>
                <w:sz w:val="20"/>
                <w:szCs w:val="24"/>
                <w:lang w:val="sr-Latn-RS"/>
              </w:rPr>
              <w:t>Objašnjenje</w:t>
            </w:r>
          </w:p>
        </w:tc>
      </w:tr>
      <w:tr w:rsidR="00261842" w:rsidRPr="00C03E15">
        <w:trPr>
          <w:trHeight w:val="300"/>
        </w:trPr>
        <w:tc>
          <w:tcPr>
            <w:tcW w:w="4124" w:type="dxa"/>
          </w:tcPr>
          <w:p w:rsidR="00261842" w:rsidRPr="00C03E15" w:rsidRDefault="00261842">
            <w:pPr>
              <w:autoSpaceDE w:val="0"/>
              <w:autoSpaceDN w:val="0"/>
              <w:adjustRightInd w:val="0"/>
              <w:spacing w:line="260" w:lineRule="auto"/>
              <w:rPr>
                <w:szCs w:val="24"/>
                <w:lang w:val="sr-Latn-RS"/>
              </w:rPr>
            </w:pPr>
            <w:r w:rsidRPr="00C03E15">
              <w:rPr>
                <w:b/>
                <w:sz w:val="20"/>
                <w:szCs w:val="24"/>
                <w:lang w:val="sr-Latn-RS"/>
              </w:rPr>
              <w:t xml:space="preserve">PU–9 </w:t>
            </w:r>
            <w:r w:rsidRPr="00C03E15">
              <w:rPr>
                <w:b/>
                <w:sz w:val="22"/>
                <w:szCs w:val="24"/>
                <w:lang w:val="sr-Latn-RS"/>
              </w:rPr>
              <w:t>Nadzor ukupnog fiskalnog rizika od drugih organizacija javnog sektora</w:t>
            </w:r>
          </w:p>
        </w:tc>
        <w:tc>
          <w:tcPr>
            <w:tcW w:w="982" w:type="dxa"/>
          </w:tcPr>
          <w:p w:rsidR="00261842" w:rsidRPr="00C03E15" w:rsidRDefault="00261842">
            <w:pPr>
              <w:spacing w:line="240" w:lineRule="auto"/>
              <w:jc w:val="center"/>
              <w:rPr>
                <w:szCs w:val="24"/>
                <w:lang w:val="sr-Latn-RS"/>
              </w:rPr>
            </w:pPr>
            <w:r w:rsidRPr="00C03E15">
              <w:rPr>
                <w:b/>
                <w:sz w:val="20"/>
                <w:szCs w:val="24"/>
                <w:lang w:val="sr-Latn-RS"/>
              </w:rPr>
              <w:t>Ocena C</w:t>
            </w:r>
          </w:p>
        </w:tc>
        <w:tc>
          <w:tcPr>
            <w:tcW w:w="3838" w:type="dxa"/>
          </w:tcPr>
          <w:p w:rsidR="00261842" w:rsidRPr="00C03E15" w:rsidRDefault="00261842">
            <w:pPr>
              <w:spacing w:line="240" w:lineRule="auto"/>
              <w:rPr>
                <w:sz w:val="20"/>
                <w:szCs w:val="24"/>
                <w:lang w:val="sr-Latn-RS"/>
              </w:rPr>
            </w:pPr>
          </w:p>
        </w:tc>
      </w:tr>
      <w:tr w:rsidR="00261842" w:rsidRPr="00025057">
        <w:trPr>
          <w:trHeight w:val="300"/>
        </w:trPr>
        <w:tc>
          <w:tcPr>
            <w:tcW w:w="4124" w:type="dxa"/>
          </w:tcPr>
          <w:p w:rsidR="00261842" w:rsidRPr="00C03E15" w:rsidRDefault="00261842">
            <w:pPr>
              <w:autoSpaceDE w:val="0"/>
              <w:autoSpaceDN w:val="0"/>
              <w:adjustRightInd w:val="0"/>
              <w:spacing w:line="260" w:lineRule="auto"/>
              <w:rPr>
                <w:sz w:val="20"/>
                <w:szCs w:val="24"/>
                <w:lang w:val="sr-Latn-RS"/>
              </w:rPr>
            </w:pPr>
            <w:r w:rsidRPr="00C03E15">
              <w:rPr>
                <w:sz w:val="20"/>
                <w:szCs w:val="24"/>
                <w:lang w:val="sr-Latn-RS"/>
              </w:rPr>
              <w:t xml:space="preserve">(i) </w:t>
            </w:r>
            <w:r w:rsidRPr="00C03E15">
              <w:rPr>
                <w:sz w:val="22"/>
                <w:szCs w:val="24"/>
                <w:lang w:val="sr-Latn-RS"/>
              </w:rPr>
              <w:t>U kojoj meri opština prati samostalne agencije i javna preduzeća</w:t>
            </w:r>
          </w:p>
          <w:p w:rsidR="00261842" w:rsidRPr="00C03E15" w:rsidRDefault="00261842">
            <w:pPr>
              <w:spacing w:line="240" w:lineRule="auto"/>
              <w:rPr>
                <w:sz w:val="20"/>
                <w:szCs w:val="24"/>
                <w:lang w:val="sr-Latn-RS"/>
              </w:rPr>
            </w:pPr>
          </w:p>
        </w:tc>
        <w:tc>
          <w:tcPr>
            <w:tcW w:w="982" w:type="dxa"/>
          </w:tcPr>
          <w:p w:rsidR="00261842" w:rsidRPr="00C03E15" w:rsidRDefault="00261842">
            <w:pPr>
              <w:spacing w:line="240" w:lineRule="auto"/>
              <w:jc w:val="center"/>
              <w:rPr>
                <w:szCs w:val="24"/>
                <w:lang w:val="sr-Latn-RS"/>
              </w:rPr>
            </w:pPr>
            <w:r w:rsidRPr="00C03E15">
              <w:rPr>
                <w:sz w:val="20"/>
                <w:szCs w:val="24"/>
                <w:lang w:val="sr-Latn-RS"/>
              </w:rPr>
              <w:t>C</w:t>
            </w:r>
          </w:p>
        </w:tc>
        <w:tc>
          <w:tcPr>
            <w:tcW w:w="3838" w:type="dxa"/>
          </w:tcPr>
          <w:p w:rsidR="00261842" w:rsidRPr="00C03E15" w:rsidRDefault="00261842">
            <w:pPr>
              <w:spacing w:line="240" w:lineRule="auto"/>
              <w:jc w:val="both"/>
              <w:rPr>
                <w:szCs w:val="24"/>
                <w:lang w:val="sr-Latn-RS"/>
              </w:rPr>
            </w:pPr>
            <w:r w:rsidRPr="00C03E15">
              <w:rPr>
                <w:sz w:val="22"/>
                <w:szCs w:val="24"/>
                <w:lang w:val="sr-Latn-RS"/>
              </w:rPr>
              <w:t>Većina samostalnih agencija i javnih  preduzeća podnosi budžetske izveštaje opštini najmanje jednom godišnje, ali konsolidovani prikaz nedostaje ili je značajno nekompletan</w:t>
            </w:r>
            <w:r w:rsidRPr="00C03E15">
              <w:rPr>
                <w:sz w:val="20"/>
                <w:szCs w:val="24"/>
                <w:lang w:val="sr-Latn-RS"/>
              </w:rPr>
              <w:t xml:space="preserve">.  </w:t>
            </w:r>
          </w:p>
        </w:tc>
      </w:tr>
      <w:tr w:rsidR="00261842" w:rsidRPr="00C03E15">
        <w:trPr>
          <w:trHeight w:val="300"/>
        </w:trPr>
        <w:tc>
          <w:tcPr>
            <w:tcW w:w="4124" w:type="dxa"/>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U kojoj meri opština prati fiskalnu poziciju jedinica nižih nivoa vlasti</w:t>
            </w:r>
          </w:p>
        </w:tc>
        <w:tc>
          <w:tcPr>
            <w:tcW w:w="982" w:type="dxa"/>
          </w:tcPr>
          <w:p w:rsidR="00261842" w:rsidRPr="00C03E15" w:rsidRDefault="00261842">
            <w:pPr>
              <w:spacing w:line="240" w:lineRule="auto"/>
              <w:jc w:val="center"/>
              <w:rPr>
                <w:szCs w:val="24"/>
                <w:lang w:val="sr-Latn-RS"/>
              </w:rPr>
            </w:pPr>
            <w:r w:rsidRPr="00C03E15">
              <w:rPr>
                <w:sz w:val="20"/>
                <w:szCs w:val="24"/>
                <w:lang w:val="sr-Latn-RS"/>
              </w:rPr>
              <w:t>NP</w:t>
            </w:r>
          </w:p>
        </w:tc>
        <w:tc>
          <w:tcPr>
            <w:tcW w:w="3838" w:type="dxa"/>
          </w:tcPr>
          <w:p w:rsidR="00261842" w:rsidRPr="00C03E15" w:rsidRDefault="00261842">
            <w:pPr>
              <w:spacing w:line="240" w:lineRule="auto"/>
              <w:rPr>
                <w:sz w:val="20"/>
                <w:szCs w:val="24"/>
                <w:lang w:val="sr-Latn-RS"/>
              </w:rPr>
            </w:pPr>
          </w:p>
        </w:tc>
      </w:tr>
    </w:tbl>
    <w:p w:rsidR="00261842" w:rsidRPr="001E4CDF" w:rsidRDefault="00261842">
      <w:pPr>
        <w:autoSpaceDE w:val="0"/>
        <w:autoSpaceDN w:val="0"/>
        <w:adjustRightInd w:val="0"/>
        <w:rPr>
          <w:b/>
          <w:szCs w:val="24"/>
          <w:lang w:val="sr-Latn-RS"/>
        </w:rPr>
      </w:pPr>
    </w:p>
    <w:p w:rsidR="00261842" w:rsidRPr="001E4CDF" w:rsidRDefault="00261842">
      <w:pPr>
        <w:pStyle w:val="ParagraphNumbering"/>
        <w:numPr>
          <w:ilvl w:val="0"/>
          <w:numId w:val="0"/>
        </w:numPr>
        <w:spacing w:line="260" w:lineRule="auto"/>
        <w:rPr>
          <w:b/>
          <w:lang w:val="sr-Latn-RS"/>
        </w:rPr>
      </w:pPr>
      <w:r w:rsidRPr="001E4CDF">
        <w:rPr>
          <w:lang w:val="sr-Latn-RS"/>
        </w:rPr>
        <w:t xml:space="preserve">Ovaj indikator meri sposobnost lokalne vlasti da ispuni svoju nadzornu ulogu u praćenju i upravljanju fiskalnim rizicima koji proističu iz aktivnosti samostalnih agencija i javnih </w:t>
      </w:r>
      <w:r w:rsidRPr="001E4CDF">
        <w:rPr>
          <w:lang w:val="sr-Latn-RS"/>
        </w:rPr>
        <w:lastRenderedPageBreak/>
        <w:t>preduzeća.  Procena ovog pokazatelja je zasnovana na informacijama dostupnim za 2013. godinu</w:t>
      </w:r>
      <w:r w:rsidRPr="001E4CDF">
        <w:rPr>
          <w:rFonts w:ascii="Arial" w:hAnsi="Arial"/>
          <w:lang w:val="sr-Latn-RS"/>
        </w:rPr>
        <w:t>.</w:t>
      </w:r>
    </w:p>
    <w:p w:rsidR="00261842" w:rsidRPr="001E4CDF" w:rsidRDefault="00261842">
      <w:pPr>
        <w:autoSpaceDE w:val="0"/>
        <w:autoSpaceDN w:val="0"/>
        <w:adjustRightInd w:val="0"/>
        <w:spacing w:line="260" w:lineRule="auto"/>
        <w:rPr>
          <w:b/>
          <w:szCs w:val="24"/>
          <w:lang w:val="sr-Latn-RS"/>
        </w:rPr>
      </w:pPr>
      <w:r w:rsidRPr="001E4CDF">
        <w:rPr>
          <w:b/>
          <w:sz w:val="20"/>
          <w:szCs w:val="24"/>
          <w:lang w:val="sr-Latn-RS"/>
        </w:rPr>
        <w:t xml:space="preserve">(i) </w:t>
      </w:r>
      <w:r w:rsidRPr="001E4CDF">
        <w:rPr>
          <w:b/>
          <w:sz w:val="22"/>
          <w:szCs w:val="24"/>
          <w:lang w:val="sr-Latn-RS"/>
        </w:rPr>
        <w:t>U kojoj meri opština prati samostalne agencije i javna preduzeća</w:t>
      </w:r>
    </w:p>
    <w:p w:rsidR="00261842" w:rsidRPr="001E4CDF" w:rsidRDefault="00261842">
      <w:pPr>
        <w:autoSpaceDE w:val="0"/>
        <w:autoSpaceDN w:val="0"/>
        <w:adjustRightInd w:val="0"/>
        <w:rPr>
          <w:szCs w:val="24"/>
          <w:lang w:val="sr-Latn-RS"/>
        </w:rPr>
      </w:pPr>
    </w:p>
    <w:p w:rsidR="00261842" w:rsidRPr="001E4CDF" w:rsidRDefault="00261842">
      <w:pPr>
        <w:pStyle w:val="ParagraphNumbering"/>
        <w:numPr>
          <w:ilvl w:val="0"/>
          <w:numId w:val="0"/>
        </w:numPr>
        <w:spacing w:line="260" w:lineRule="auto"/>
        <w:rPr>
          <w:lang w:val="sr-Latn-RS"/>
        </w:rPr>
      </w:pPr>
      <w:r w:rsidRPr="001E4CDF">
        <w:rPr>
          <w:lang w:val="sr-Latn-RS"/>
        </w:rPr>
        <w:t>Postoji jedno javno preduzeće u vlasništvu opštine - komunalno preduzeće za vodosnabdevanje i kanalizaciju.</w:t>
      </w:r>
    </w:p>
    <w:p w:rsidR="00261842" w:rsidRPr="001E4CDF" w:rsidRDefault="00261842" w:rsidP="00F82154">
      <w:pPr>
        <w:pStyle w:val="ParagraphNumbering"/>
        <w:numPr>
          <w:ilvl w:val="0"/>
          <w:numId w:val="0"/>
        </w:numPr>
        <w:spacing w:line="260" w:lineRule="auto"/>
        <w:jc w:val="both"/>
        <w:rPr>
          <w:lang w:val="sr-Latn-RS"/>
        </w:rPr>
      </w:pPr>
      <w:r w:rsidRPr="001E4CDF">
        <w:rPr>
          <w:lang w:val="sr-Latn-RS"/>
        </w:rPr>
        <w:t>Opština nema nikakvih obaveza po osnovu zaduživanja.  Obezbeđenje za zaduživanje je zasnovano na imovini preduzeća, ali dozvolu za zaduživanje mora dati opština.  Garancije se daju od strane Ministarstva finansija, u ime republičke Vlade. Postoji nadzorni odbor koji se sastoji od članova koje imenuje Skupština opštine kao i od zaposlenih u opštini (preko 50%).  Godišnji plan rada se podnosi Odeljenju za budžet i mora biti pregledan od strane Gradskog veća i odobren od strane Skupštine pre nego što može da se primeni.  Sve godišnje naknade i takse za godinu odobravaju se od strane Skupštine.  Objavljuju se u Službenom glasniku i na sajtu preduzeća.</w:t>
      </w:r>
    </w:p>
    <w:p w:rsidR="00261842" w:rsidRPr="001E4CDF" w:rsidRDefault="00261842" w:rsidP="00F82154">
      <w:pPr>
        <w:pStyle w:val="ParagraphNumbering"/>
        <w:numPr>
          <w:ilvl w:val="0"/>
          <w:numId w:val="0"/>
        </w:numPr>
        <w:spacing w:line="260" w:lineRule="auto"/>
        <w:jc w:val="both"/>
        <w:rPr>
          <w:lang w:val="sr-Latn-RS"/>
        </w:rPr>
      </w:pPr>
      <w:r w:rsidRPr="001E4CDF">
        <w:rPr>
          <w:lang w:val="sr-Latn-RS"/>
        </w:rPr>
        <w:t>Gradskoj upravi za budžet se mesečno dostavlja izveštaj o broju zaposlenih i masi zarada koji mora da bude odobren pre isplate.  Ovaj izveštaj se takođe šalje Ministarstvu finansija.  Svaki kvartalni finansijski izveštaj analizira GU za budžet i šalje Ministarstvu finansija. Godišnji finansijski izveštaj i izvršenje plana rada se pripremaju po sličnoj proceduri.  Revizija finansijskih izveštaja do sada nije vršena.</w:t>
      </w:r>
    </w:p>
    <w:p w:rsidR="00261842" w:rsidRPr="001E4CDF" w:rsidRDefault="00261842" w:rsidP="00F82154">
      <w:pPr>
        <w:pStyle w:val="ParagraphNumbering"/>
        <w:numPr>
          <w:ilvl w:val="0"/>
          <w:numId w:val="0"/>
        </w:numPr>
        <w:spacing w:line="260" w:lineRule="auto"/>
        <w:jc w:val="both"/>
        <w:rPr>
          <w:lang w:val="sr-Latn-RS"/>
        </w:rPr>
      </w:pPr>
      <w:r w:rsidRPr="001E4CDF">
        <w:rPr>
          <w:lang w:val="sr-Latn-RS"/>
        </w:rPr>
        <w:t>Postoji odredba u skladu sa kojom javno preduzeće može zadržati 50% profita, a preostalih 50% se prenosi na opštinu.  Do sada nije bilo transfera.  Pošto u opštini postoji samo jedno ovakvo javno preduzeće, njegov godišnji finansijski izveštaj je uvek konsolidovani izveštaj.  Međutim, s obzirom da nema revidiranih finansijskih izveštaja, ocena je C.</w:t>
      </w:r>
    </w:p>
    <w:p w:rsidR="00261842" w:rsidRPr="001E4CDF" w:rsidRDefault="00261842">
      <w:pPr>
        <w:autoSpaceDE w:val="0"/>
        <w:autoSpaceDN w:val="0"/>
        <w:adjustRightInd w:val="0"/>
        <w:spacing w:line="260" w:lineRule="auto"/>
        <w:rPr>
          <w:b/>
          <w:szCs w:val="24"/>
          <w:lang w:val="sr-Latn-RS"/>
        </w:rPr>
      </w:pPr>
      <w:r w:rsidRPr="001E4CDF">
        <w:rPr>
          <w:b/>
          <w:szCs w:val="24"/>
          <w:lang w:val="sr-Latn-RS"/>
        </w:rPr>
        <w:t xml:space="preserve"> (</w:t>
      </w:r>
      <w:proofErr w:type="spellStart"/>
      <w:r w:rsidRPr="001E4CDF">
        <w:rPr>
          <w:b/>
          <w:szCs w:val="24"/>
          <w:lang w:val="sr-Latn-RS"/>
        </w:rPr>
        <w:t>ii</w:t>
      </w:r>
      <w:proofErr w:type="spellEnd"/>
      <w:r w:rsidRPr="001E4CDF">
        <w:rPr>
          <w:b/>
          <w:szCs w:val="24"/>
          <w:lang w:val="sr-Latn-RS"/>
        </w:rPr>
        <w:t>) U kojoj meri opština prati fiskalnu poziciju jedinica nižih nivoa vlasti</w:t>
      </w:r>
    </w:p>
    <w:p w:rsidR="00261842" w:rsidRPr="001E4CDF" w:rsidRDefault="00261842">
      <w:pPr>
        <w:autoSpaceDE w:val="0"/>
        <w:autoSpaceDN w:val="0"/>
        <w:adjustRightInd w:val="0"/>
        <w:rPr>
          <w:szCs w:val="24"/>
          <w:lang w:val="sr-Latn-RS"/>
        </w:rPr>
      </w:pPr>
    </w:p>
    <w:p w:rsidR="00261842" w:rsidRPr="001E4CDF" w:rsidRDefault="00261842">
      <w:pPr>
        <w:pStyle w:val="ParagraphNumbering"/>
        <w:numPr>
          <w:ilvl w:val="0"/>
          <w:numId w:val="0"/>
        </w:numPr>
        <w:spacing w:line="260" w:lineRule="auto"/>
        <w:rPr>
          <w:lang w:val="sr-Latn-RS"/>
        </w:rPr>
      </w:pPr>
      <w:r w:rsidRPr="001E4CDF">
        <w:rPr>
          <w:lang w:val="sr-Latn-RS"/>
        </w:rPr>
        <w:t>Nema nižeg ispod nivoa opštine. Ocena – nije primenjivo</w:t>
      </w:r>
    </w:p>
    <w:p w:rsidR="00261842" w:rsidRPr="001E4CDF" w:rsidRDefault="00261842">
      <w:pPr>
        <w:spacing w:line="260" w:lineRule="auto"/>
        <w:rPr>
          <w:b/>
          <w:szCs w:val="24"/>
          <w:lang w:val="sr-Latn-RS"/>
        </w:rPr>
      </w:pPr>
      <w:r w:rsidRPr="001E4CDF">
        <w:rPr>
          <w:b/>
          <w:sz w:val="20"/>
          <w:szCs w:val="24"/>
          <w:lang w:val="sr-Latn-RS"/>
        </w:rPr>
        <w:t xml:space="preserve">PU-10 </w:t>
      </w:r>
      <w:r w:rsidRPr="001E4CDF">
        <w:rPr>
          <w:b/>
          <w:sz w:val="22"/>
          <w:szCs w:val="24"/>
          <w:lang w:val="sr-Latn-RS"/>
        </w:rPr>
        <w:t>Dostupnost najvažnijih fiskalnih informacija javnosti</w:t>
      </w:r>
    </w:p>
    <w:p w:rsidR="00261842" w:rsidRPr="001E4CDF" w:rsidRDefault="00261842">
      <w:pPr>
        <w:rPr>
          <w:szCs w:val="24"/>
          <w:lang w:val="sr-Latn-RS"/>
        </w:rPr>
      </w:pPr>
    </w:p>
    <w:tbl>
      <w:tblPr>
        <w:tblW w:w="8944" w:type="dxa"/>
        <w:tblInd w:w="95" w:type="dxa"/>
        <w:tblLayout w:type="fixed"/>
        <w:tblLook w:val="04A0" w:firstRow="1" w:lastRow="0" w:firstColumn="1" w:lastColumn="0" w:noHBand="0" w:noVBand="1"/>
      </w:tblPr>
      <w:tblGrid>
        <w:gridCol w:w="3132"/>
        <w:gridCol w:w="1134"/>
        <w:gridCol w:w="4678"/>
      </w:tblGrid>
      <w:tr w:rsidR="00261842" w:rsidRPr="00025057">
        <w:trPr>
          <w:trHeight w:val="300"/>
        </w:trPr>
        <w:tc>
          <w:tcPr>
            <w:tcW w:w="3132" w:type="dxa"/>
            <w:tcBorders>
              <w:top w:val="single" w:sz="4" w:space="0" w:color="auto"/>
              <w:left w:val="single" w:sz="4" w:space="0" w:color="auto"/>
              <w:bottom w:val="single" w:sz="4" w:space="0" w:color="auto"/>
              <w:right w:val="single" w:sz="4" w:space="0" w:color="auto"/>
            </w:tcBorders>
            <w:shd w:val="clear" w:color="auto" w:fill="D2EFFF"/>
            <w:vAlign w:val="center"/>
          </w:tcPr>
          <w:p w:rsidR="00261842" w:rsidRPr="00C03E15" w:rsidRDefault="00261842">
            <w:pPr>
              <w:spacing w:line="240" w:lineRule="auto"/>
              <w:rPr>
                <w:b/>
                <w:sz w:val="20"/>
                <w:szCs w:val="24"/>
                <w:lang w:val="sr-Latn-RS"/>
              </w:rPr>
            </w:pPr>
          </w:p>
        </w:tc>
        <w:tc>
          <w:tcPr>
            <w:tcW w:w="5812" w:type="dxa"/>
            <w:gridSpan w:val="2"/>
            <w:tcBorders>
              <w:top w:val="single" w:sz="4" w:space="0" w:color="auto"/>
              <w:left w:val="nil"/>
              <w:bottom w:val="single" w:sz="4" w:space="0" w:color="auto"/>
              <w:right w:val="single" w:sz="4" w:space="0" w:color="auto"/>
            </w:tcBorders>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M1)</w:t>
            </w:r>
          </w:p>
        </w:tc>
      </w:tr>
      <w:tr w:rsidR="00261842" w:rsidRPr="00C03E15">
        <w:trPr>
          <w:trHeight w:val="300"/>
        </w:trPr>
        <w:tc>
          <w:tcPr>
            <w:tcW w:w="3132" w:type="dxa"/>
            <w:tcBorders>
              <w:top w:val="single" w:sz="4" w:space="0" w:color="auto"/>
              <w:left w:val="single" w:sz="4" w:space="0" w:color="auto"/>
              <w:bottom w:val="single" w:sz="4" w:space="0" w:color="auto"/>
              <w:right w:val="single" w:sz="4" w:space="0" w:color="auto"/>
            </w:tcBorders>
            <w:shd w:val="clear" w:color="auto" w:fill="D2EFFF"/>
            <w:vAlign w:val="center"/>
            <w:hideMark/>
          </w:tcPr>
          <w:p w:rsidR="00261842" w:rsidRPr="00C03E15" w:rsidRDefault="00261842">
            <w:pPr>
              <w:spacing w:line="240" w:lineRule="auto"/>
              <w:rPr>
                <w:b/>
                <w:sz w:val="20"/>
                <w:szCs w:val="24"/>
                <w:lang w:val="sr-Latn-RS"/>
              </w:rPr>
            </w:pPr>
          </w:p>
        </w:tc>
        <w:tc>
          <w:tcPr>
            <w:tcW w:w="1134"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b/>
                <w:sz w:val="20"/>
                <w:szCs w:val="24"/>
                <w:lang w:val="sr-Latn-RS"/>
              </w:rPr>
            </w:pPr>
            <w:r w:rsidRPr="00C03E15">
              <w:rPr>
                <w:b/>
                <w:sz w:val="20"/>
                <w:szCs w:val="24"/>
                <w:lang w:val="sr-Latn-RS"/>
              </w:rPr>
              <w:t>2014</w:t>
            </w:r>
          </w:p>
        </w:tc>
        <w:tc>
          <w:tcPr>
            <w:tcW w:w="4678"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szCs w:val="24"/>
                <w:lang w:val="sr-Latn-RS"/>
              </w:rPr>
            </w:pPr>
            <w:r w:rsidRPr="00C03E15">
              <w:rPr>
                <w:b/>
                <w:sz w:val="20"/>
                <w:szCs w:val="24"/>
                <w:lang w:val="sr-Latn-RS"/>
              </w:rPr>
              <w:t>Objašnjenje</w:t>
            </w:r>
          </w:p>
        </w:tc>
      </w:tr>
      <w:tr w:rsidR="00261842" w:rsidRPr="00C03E15">
        <w:trPr>
          <w:trHeight w:val="810"/>
        </w:trPr>
        <w:tc>
          <w:tcPr>
            <w:tcW w:w="3132" w:type="dxa"/>
            <w:tcBorders>
              <w:top w:val="single" w:sz="4" w:space="0" w:color="auto"/>
              <w:left w:val="single" w:sz="4" w:space="0" w:color="auto"/>
              <w:bottom w:val="single" w:sz="4" w:space="0" w:color="auto"/>
              <w:right w:val="single" w:sz="4" w:space="0" w:color="auto"/>
            </w:tcBorders>
            <w:vAlign w:val="center"/>
          </w:tcPr>
          <w:p w:rsidR="00261842" w:rsidRPr="00C03E15" w:rsidRDefault="00261842">
            <w:pPr>
              <w:spacing w:line="260" w:lineRule="auto"/>
              <w:rPr>
                <w:szCs w:val="24"/>
                <w:lang w:val="sr-Latn-RS"/>
              </w:rPr>
            </w:pPr>
            <w:r w:rsidRPr="00C03E15">
              <w:rPr>
                <w:b/>
                <w:sz w:val="20"/>
                <w:szCs w:val="24"/>
                <w:lang w:val="sr-Latn-RS"/>
              </w:rPr>
              <w:t xml:space="preserve">PU-10 </w:t>
            </w:r>
            <w:r w:rsidRPr="00C03E15">
              <w:rPr>
                <w:b/>
                <w:sz w:val="22"/>
                <w:szCs w:val="24"/>
                <w:lang w:val="sr-Latn-RS"/>
              </w:rPr>
              <w:t>Dostupnost najvažnijih fiskalnih informacija javnosti</w:t>
            </w:r>
          </w:p>
        </w:tc>
        <w:tc>
          <w:tcPr>
            <w:tcW w:w="1134"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b/>
                <w:sz w:val="20"/>
                <w:szCs w:val="24"/>
                <w:lang w:val="sr-Latn-RS"/>
              </w:rPr>
              <w:t>Ocena A</w:t>
            </w:r>
          </w:p>
        </w:tc>
        <w:tc>
          <w:tcPr>
            <w:tcW w:w="4678" w:type="dxa"/>
            <w:tcBorders>
              <w:top w:val="single" w:sz="4" w:space="0" w:color="auto"/>
              <w:left w:val="nil"/>
              <w:bottom w:val="single" w:sz="4" w:space="0" w:color="auto"/>
              <w:right w:val="single" w:sz="4" w:space="0" w:color="auto"/>
            </w:tcBorders>
            <w:vAlign w:val="center"/>
          </w:tcPr>
          <w:p w:rsidR="00261842" w:rsidRPr="00C03E15" w:rsidRDefault="00261842">
            <w:pPr>
              <w:spacing w:line="240" w:lineRule="auto"/>
              <w:jc w:val="center"/>
              <w:rPr>
                <w:b/>
                <w:sz w:val="20"/>
                <w:szCs w:val="24"/>
                <w:lang w:val="sr-Latn-RS"/>
              </w:rPr>
            </w:pPr>
          </w:p>
        </w:tc>
      </w:tr>
      <w:tr w:rsidR="00261842" w:rsidRPr="00025057">
        <w:trPr>
          <w:trHeight w:val="300"/>
        </w:trPr>
        <w:tc>
          <w:tcPr>
            <w:tcW w:w="3132" w:type="dxa"/>
            <w:tcBorders>
              <w:top w:val="nil"/>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(i) Broj koji se od osam navedenih elemenata javnog pristupa informacijama daje na uvid javnosti</w:t>
            </w:r>
          </w:p>
        </w:tc>
        <w:tc>
          <w:tcPr>
            <w:tcW w:w="1134" w:type="dxa"/>
            <w:tcBorders>
              <w:top w:val="nil"/>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sz w:val="20"/>
                <w:szCs w:val="24"/>
                <w:lang w:val="sr-Latn-RS"/>
              </w:rPr>
              <w:t>A</w:t>
            </w:r>
          </w:p>
        </w:tc>
        <w:tc>
          <w:tcPr>
            <w:tcW w:w="4678" w:type="dxa"/>
            <w:tcBorders>
              <w:top w:val="nil"/>
              <w:left w:val="nil"/>
              <w:bottom w:val="single" w:sz="4" w:space="0" w:color="auto"/>
              <w:right w:val="single" w:sz="4" w:space="0" w:color="auto"/>
            </w:tcBorders>
          </w:tcPr>
          <w:p w:rsidR="00261842" w:rsidRPr="00C03E15" w:rsidRDefault="00261842">
            <w:pPr>
              <w:spacing w:line="240" w:lineRule="auto"/>
              <w:rPr>
                <w:szCs w:val="24"/>
                <w:lang w:val="sr-Latn-RS"/>
              </w:rPr>
            </w:pPr>
            <w:r w:rsidRPr="00C03E15">
              <w:rPr>
                <w:sz w:val="22"/>
                <w:szCs w:val="24"/>
                <w:lang w:val="sr-Latn-RS"/>
              </w:rPr>
              <w:t>Na uvid javnosti se daje 7-8 od 8 navedenih vrsta podataka</w:t>
            </w:r>
            <w:r w:rsidRPr="001E4CDF">
              <w:rPr>
                <w:rFonts w:ascii="Arial" w:hAnsi="Arial"/>
                <w:sz w:val="20"/>
                <w:szCs w:val="24"/>
                <w:lang w:val="sr-Latn-RS"/>
              </w:rPr>
              <w:t>.</w:t>
            </w:r>
            <w:r w:rsidRPr="00C03E15">
              <w:rPr>
                <w:sz w:val="20"/>
                <w:szCs w:val="24"/>
                <w:lang w:val="sr-Latn-RS"/>
              </w:rPr>
              <w:t xml:space="preserve">  </w:t>
            </w:r>
          </w:p>
        </w:tc>
      </w:tr>
    </w:tbl>
    <w:p w:rsidR="00261842" w:rsidRPr="001E4CDF" w:rsidRDefault="00261842">
      <w:pPr>
        <w:autoSpaceDE w:val="0"/>
        <w:autoSpaceDN w:val="0"/>
        <w:adjustRightInd w:val="0"/>
        <w:rPr>
          <w:szCs w:val="24"/>
          <w:lang w:val="sr-Latn-RS"/>
        </w:rPr>
      </w:pPr>
    </w:p>
    <w:p w:rsidR="00261842" w:rsidRPr="001E4CDF" w:rsidRDefault="00261842" w:rsidP="00A35519">
      <w:pPr>
        <w:pStyle w:val="ParagraphNumbering"/>
        <w:numPr>
          <w:ilvl w:val="0"/>
          <w:numId w:val="0"/>
        </w:numPr>
        <w:spacing w:line="260" w:lineRule="auto"/>
        <w:jc w:val="both"/>
        <w:rPr>
          <w:color w:val="000000"/>
          <w:lang w:val="sr-Latn-RS"/>
        </w:rPr>
      </w:pPr>
      <w:r w:rsidRPr="001E4CDF">
        <w:rPr>
          <w:color w:val="000000"/>
          <w:lang w:val="sr-Latn-RS"/>
        </w:rPr>
        <w:t xml:space="preserve">Ovaj indikator procenjuje transparentnost fiskalnih informacija utvrđivanjem dostupnosti javnosti u odnosu na više informacionih pokazatelja. </w:t>
      </w:r>
      <w:r w:rsidRPr="001E4CDF">
        <w:rPr>
          <w:color w:val="000000"/>
          <w:sz w:val="22"/>
          <w:lang w:val="sr-Latn-RS"/>
        </w:rPr>
        <w:t>Procena ovog indikatora je zasnovana na informacijama dostupnim za budžetske godine 2013. i 2014</w:t>
      </w:r>
      <w:r w:rsidRPr="001E4CDF">
        <w:rPr>
          <w:color w:val="000000"/>
          <w:lang w:val="sr-Latn-RS"/>
        </w:rPr>
        <w:t>. (do sada).</w:t>
      </w:r>
      <w:r w:rsidRPr="001E4CDF">
        <w:rPr>
          <w:sz w:val="22"/>
          <w:lang w:val="sr-Latn-RS"/>
        </w:rPr>
        <w:t xml:space="preserve"> </w:t>
      </w:r>
    </w:p>
    <w:p w:rsidR="00261842" w:rsidRPr="001E4CDF" w:rsidRDefault="00261842">
      <w:pPr>
        <w:pStyle w:val="ParagraphNumbering"/>
        <w:numPr>
          <w:ilvl w:val="0"/>
          <w:numId w:val="0"/>
        </w:numPr>
        <w:spacing w:line="260" w:lineRule="auto"/>
        <w:rPr>
          <w:b/>
          <w:color w:val="000000"/>
          <w:lang w:val="sr-Latn-RS"/>
        </w:rPr>
      </w:pPr>
      <w:r w:rsidRPr="001E4CDF">
        <w:rPr>
          <w:b/>
          <w:lang w:val="sr-Latn-RS"/>
        </w:rPr>
        <w:t>(i) Broj koji se od osam  navedenih elemenata javnog pristupa informacijama daje na uvid javnosti</w:t>
      </w:r>
    </w:p>
    <w:p w:rsidR="00261842" w:rsidRPr="001E4CDF" w:rsidRDefault="00261842">
      <w:pPr>
        <w:pStyle w:val="ParagraphNumbering"/>
        <w:numPr>
          <w:ilvl w:val="0"/>
          <w:numId w:val="0"/>
        </w:numPr>
        <w:spacing w:line="260" w:lineRule="auto"/>
        <w:rPr>
          <w:lang w:val="sr-Latn-RS"/>
        </w:rPr>
      </w:pPr>
      <w:r w:rsidRPr="001E4CDF">
        <w:rPr>
          <w:color w:val="000000"/>
          <w:lang w:val="sr-Latn-RS"/>
        </w:rPr>
        <w:t>Kao što je dato u tabeli u nastavku, lokalna samouprava trenutno daje šest od sedam</w:t>
      </w:r>
      <w:r w:rsidR="00C03E15">
        <w:rPr>
          <w:rStyle w:val="FootnoteReference"/>
          <w:color w:val="000000"/>
          <w:lang w:val="sr-Latn-RS"/>
        </w:rPr>
        <w:footnoteReference w:id="6"/>
      </w:r>
      <w:r w:rsidRPr="001E4CDF">
        <w:rPr>
          <w:color w:val="000000"/>
          <w:lang w:val="sr-Latn-RS"/>
        </w:rPr>
        <w:t xml:space="preserve"> navedenih elemenata na uvid javnosti u propisanom roku.  Ocena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790"/>
        <w:gridCol w:w="1260"/>
        <w:gridCol w:w="4752"/>
      </w:tblGrid>
      <w:tr w:rsidR="00261842" w:rsidRPr="00025057" w:rsidTr="00C03E15">
        <w:tc>
          <w:tcPr>
            <w:tcW w:w="9072" w:type="dxa"/>
            <w:gridSpan w:val="4"/>
            <w:shd w:val="clear" w:color="auto" w:fill="D2EFFF"/>
          </w:tcPr>
          <w:p w:rsidR="00261842" w:rsidRPr="00C03E15" w:rsidRDefault="00261842" w:rsidP="00C03E15">
            <w:pPr>
              <w:widowControl w:val="0"/>
              <w:spacing w:line="260" w:lineRule="auto"/>
              <w:jc w:val="center"/>
              <w:rPr>
                <w:szCs w:val="24"/>
                <w:lang w:val="sr-Latn-RS"/>
              </w:rPr>
            </w:pPr>
            <w:r w:rsidRPr="00C03E15">
              <w:rPr>
                <w:b/>
                <w:sz w:val="20"/>
                <w:szCs w:val="24"/>
                <w:lang w:val="sr-Latn-RS"/>
              </w:rPr>
              <w:t>Ključni fiskalni podaci koji se stavljaju na uvid javnosti</w:t>
            </w:r>
          </w:p>
        </w:tc>
      </w:tr>
      <w:tr w:rsidR="00261842" w:rsidRPr="00C03E15" w:rsidTr="00C03E15">
        <w:tc>
          <w:tcPr>
            <w:tcW w:w="3060" w:type="dxa"/>
            <w:gridSpan w:val="2"/>
            <w:shd w:val="clear" w:color="auto" w:fill="D2EFFF"/>
          </w:tcPr>
          <w:p w:rsidR="00261842" w:rsidRPr="00C03E15" w:rsidRDefault="00261842" w:rsidP="00C03E15">
            <w:pPr>
              <w:widowControl w:val="0"/>
              <w:spacing w:line="260" w:lineRule="auto"/>
              <w:jc w:val="center"/>
              <w:rPr>
                <w:szCs w:val="24"/>
                <w:lang w:val="sr-Latn-RS"/>
              </w:rPr>
            </w:pPr>
            <w:r w:rsidRPr="00C03E15">
              <w:rPr>
                <w:b/>
                <w:sz w:val="20"/>
                <w:szCs w:val="24"/>
                <w:lang w:val="sr-Latn-RS"/>
              </w:rPr>
              <w:t>Element</w:t>
            </w:r>
          </w:p>
        </w:tc>
        <w:tc>
          <w:tcPr>
            <w:tcW w:w="1260" w:type="dxa"/>
            <w:shd w:val="clear" w:color="auto" w:fill="D2EFFF"/>
          </w:tcPr>
          <w:p w:rsidR="00261842" w:rsidRPr="00C03E15" w:rsidRDefault="00261842" w:rsidP="00C03E15">
            <w:pPr>
              <w:widowControl w:val="0"/>
              <w:spacing w:line="260" w:lineRule="auto"/>
              <w:jc w:val="center"/>
              <w:rPr>
                <w:szCs w:val="24"/>
                <w:lang w:val="sr-Latn-RS"/>
              </w:rPr>
            </w:pPr>
            <w:r w:rsidRPr="00C03E15">
              <w:rPr>
                <w:b/>
                <w:sz w:val="20"/>
                <w:szCs w:val="24"/>
                <w:lang w:val="sr-Latn-RS"/>
              </w:rPr>
              <w:t>Dostupno</w:t>
            </w:r>
          </w:p>
        </w:tc>
        <w:tc>
          <w:tcPr>
            <w:tcW w:w="4752" w:type="dxa"/>
            <w:shd w:val="clear" w:color="auto" w:fill="D2EFFF"/>
          </w:tcPr>
          <w:p w:rsidR="00261842" w:rsidRPr="00C03E15" w:rsidRDefault="00261842" w:rsidP="00C03E15">
            <w:pPr>
              <w:widowControl w:val="0"/>
              <w:spacing w:line="260" w:lineRule="auto"/>
              <w:jc w:val="center"/>
              <w:rPr>
                <w:szCs w:val="24"/>
                <w:lang w:val="sr-Latn-RS"/>
              </w:rPr>
            </w:pPr>
            <w:r w:rsidRPr="00C03E15">
              <w:rPr>
                <w:b/>
                <w:sz w:val="20"/>
                <w:szCs w:val="24"/>
                <w:lang w:val="sr-Latn-RS"/>
              </w:rPr>
              <w:t>Izvor</w:t>
            </w:r>
          </w:p>
        </w:tc>
      </w:tr>
      <w:tr w:rsidR="00261842" w:rsidRPr="00025057" w:rsidTr="00C03E15">
        <w:tc>
          <w:tcPr>
            <w:tcW w:w="270" w:type="dxa"/>
          </w:tcPr>
          <w:p w:rsidR="00261842" w:rsidRPr="00C03E15" w:rsidRDefault="00261842" w:rsidP="00C03E15">
            <w:pPr>
              <w:widowControl w:val="0"/>
              <w:jc w:val="center"/>
              <w:rPr>
                <w:sz w:val="20"/>
                <w:szCs w:val="24"/>
                <w:lang w:val="sr-Latn-RS"/>
              </w:rPr>
            </w:pPr>
            <w:r w:rsidRPr="00C03E15">
              <w:rPr>
                <w:sz w:val="20"/>
                <w:szCs w:val="24"/>
                <w:lang w:val="sr-Latn-RS"/>
              </w:rPr>
              <w:t>1</w:t>
            </w:r>
          </w:p>
        </w:tc>
        <w:tc>
          <w:tcPr>
            <w:tcW w:w="2790" w:type="dxa"/>
          </w:tcPr>
          <w:p w:rsidR="00261842" w:rsidRPr="00C03E15" w:rsidRDefault="00261842" w:rsidP="00C03E15">
            <w:pPr>
              <w:widowControl w:val="0"/>
              <w:spacing w:line="260" w:lineRule="auto"/>
              <w:rPr>
                <w:szCs w:val="24"/>
                <w:lang w:val="sr-Latn-RS"/>
              </w:rPr>
            </w:pPr>
            <w:r w:rsidRPr="00C03E15">
              <w:rPr>
                <w:sz w:val="20"/>
                <w:szCs w:val="24"/>
                <w:lang w:val="sr-Latn-RS"/>
              </w:rPr>
              <w:t xml:space="preserve">Godišnja budžetska dokumentacija je dostupna javnosti istovremeno sa njenim dostavljanjem zakonodavnom organu. </w:t>
            </w:r>
          </w:p>
        </w:tc>
        <w:tc>
          <w:tcPr>
            <w:tcW w:w="1260"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Da</w:t>
            </w:r>
          </w:p>
        </w:tc>
        <w:tc>
          <w:tcPr>
            <w:tcW w:w="4752" w:type="dxa"/>
          </w:tcPr>
          <w:p w:rsidR="00261842" w:rsidRPr="00C03E15" w:rsidRDefault="00261842" w:rsidP="00C03E15">
            <w:pPr>
              <w:widowControl w:val="0"/>
              <w:spacing w:line="260" w:lineRule="auto"/>
              <w:rPr>
                <w:szCs w:val="24"/>
                <w:lang w:val="sr-Latn-RS"/>
              </w:rPr>
            </w:pPr>
            <w:r w:rsidRPr="00C03E15">
              <w:rPr>
                <w:sz w:val="20"/>
                <w:szCs w:val="24"/>
                <w:lang w:val="sr-Latn-RS"/>
              </w:rPr>
              <w:t>Sl. glasnik internet sajt http://osecina.com/</w:t>
            </w:r>
          </w:p>
        </w:tc>
      </w:tr>
      <w:tr w:rsidR="00261842" w:rsidRPr="00C03E15" w:rsidTr="00C03E15">
        <w:trPr>
          <w:trHeight w:val="242"/>
        </w:trPr>
        <w:tc>
          <w:tcPr>
            <w:tcW w:w="270" w:type="dxa"/>
          </w:tcPr>
          <w:p w:rsidR="00261842" w:rsidRPr="00C03E15" w:rsidRDefault="00261842" w:rsidP="00C03E15">
            <w:pPr>
              <w:widowControl w:val="0"/>
              <w:jc w:val="center"/>
              <w:rPr>
                <w:sz w:val="20"/>
                <w:szCs w:val="24"/>
                <w:lang w:val="sr-Latn-RS"/>
              </w:rPr>
            </w:pPr>
            <w:r w:rsidRPr="00C03E15">
              <w:rPr>
                <w:sz w:val="20"/>
                <w:szCs w:val="24"/>
                <w:lang w:val="sr-Latn-RS"/>
              </w:rPr>
              <w:t>2</w:t>
            </w:r>
          </w:p>
        </w:tc>
        <w:tc>
          <w:tcPr>
            <w:tcW w:w="2790" w:type="dxa"/>
          </w:tcPr>
          <w:p w:rsidR="00261842" w:rsidRPr="00C03E15" w:rsidRDefault="00261842" w:rsidP="00C03E15">
            <w:pPr>
              <w:widowControl w:val="0"/>
              <w:spacing w:line="260" w:lineRule="auto"/>
              <w:rPr>
                <w:szCs w:val="24"/>
                <w:lang w:val="sr-Latn-RS"/>
              </w:rPr>
            </w:pPr>
            <w:r w:rsidRPr="00C03E15">
              <w:rPr>
                <w:sz w:val="20"/>
                <w:szCs w:val="24"/>
                <w:lang w:val="sr-Latn-RS"/>
              </w:rPr>
              <w:t>Izveštaji o izvršenju budžeta u toku godine u roku od mesec dana po isteku perioda</w:t>
            </w:r>
          </w:p>
        </w:tc>
        <w:tc>
          <w:tcPr>
            <w:tcW w:w="1260"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Ne</w:t>
            </w:r>
          </w:p>
        </w:tc>
        <w:tc>
          <w:tcPr>
            <w:tcW w:w="4752" w:type="dxa"/>
          </w:tcPr>
          <w:p w:rsidR="00261842" w:rsidRPr="00C03E15" w:rsidRDefault="00261842" w:rsidP="00C03E15">
            <w:pPr>
              <w:widowControl w:val="0"/>
              <w:rPr>
                <w:sz w:val="20"/>
                <w:szCs w:val="24"/>
                <w:lang w:val="sr-Latn-RS"/>
              </w:rPr>
            </w:pPr>
          </w:p>
        </w:tc>
      </w:tr>
      <w:tr w:rsidR="00261842" w:rsidRPr="00025057" w:rsidTr="00C03E15">
        <w:tc>
          <w:tcPr>
            <w:tcW w:w="270" w:type="dxa"/>
          </w:tcPr>
          <w:p w:rsidR="00261842" w:rsidRPr="00C03E15" w:rsidRDefault="00261842" w:rsidP="00C03E15">
            <w:pPr>
              <w:widowControl w:val="0"/>
              <w:jc w:val="center"/>
              <w:rPr>
                <w:sz w:val="20"/>
                <w:szCs w:val="24"/>
                <w:lang w:val="sr-Latn-RS"/>
              </w:rPr>
            </w:pPr>
            <w:r w:rsidRPr="00C03E15">
              <w:rPr>
                <w:sz w:val="20"/>
                <w:szCs w:val="24"/>
                <w:lang w:val="sr-Latn-RS"/>
              </w:rPr>
              <w:t>3</w:t>
            </w:r>
          </w:p>
        </w:tc>
        <w:tc>
          <w:tcPr>
            <w:tcW w:w="2790" w:type="dxa"/>
          </w:tcPr>
          <w:p w:rsidR="00261842" w:rsidRPr="00C03E15" w:rsidRDefault="00261842" w:rsidP="00C03E15">
            <w:pPr>
              <w:widowControl w:val="0"/>
              <w:spacing w:line="260" w:lineRule="auto"/>
              <w:rPr>
                <w:szCs w:val="24"/>
                <w:lang w:val="sr-Latn-RS"/>
              </w:rPr>
            </w:pPr>
            <w:r w:rsidRPr="00C03E15">
              <w:rPr>
                <w:sz w:val="20"/>
                <w:szCs w:val="24"/>
                <w:lang w:val="sr-Latn-RS"/>
              </w:rPr>
              <w:t>Završni godišnji izveštaji u roku od šest meseci od izvršene revizije</w:t>
            </w:r>
          </w:p>
        </w:tc>
        <w:tc>
          <w:tcPr>
            <w:tcW w:w="1260"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Da</w:t>
            </w:r>
          </w:p>
        </w:tc>
        <w:tc>
          <w:tcPr>
            <w:tcW w:w="4752" w:type="dxa"/>
          </w:tcPr>
          <w:p w:rsidR="00261842" w:rsidRPr="00C03E15" w:rsidRDefault="00261842" w:rsidP="00C03E15">
            <w:pPr>
              <w:widowControl w:val="0"/>
              <w:spacing w:line="260" w:lineRule="auto"/>
              <w:rPr>
                <w:szCs w:val="24"/>
                <w:lang w:val="sr-Latn-RS"/>
              </w:rPr>
            </w:pPr>
            <w:r w:rsidRPr="00C03E15">
              <w:rPr>
                <w:sz w:val="20"/>
                <w:szCs w:val="24"/>
                <w:lang w:val="sr-Latn-RS"/>
              </w:rPr>
              <w:t>Na sajtu nakon što Skupština odobri</w:t>
            </w:r>
          </w:p>
        </w:tc>
      </w:tr>
      <w:tr w:rsidR="00261842" w:rsidRPr="00025057" w:rsidTr="00C03E15">
        <w:tc>
          <w:tcPr>
            <w:tcW w:w="270" w:type="dxa"/>
          </w:tcPr>
          <w:p w:rsidR="00261842" w:rsidRPr="00C03E15" w:rsidRDefault="00261842" w:rsidP="00C03E15">
            <w:pPr>
              <w:widowControl w:val="0"/>
              <w:jc w:val="center"/>
              <w:rPr>
                <w:sz w:val="20"/>
                <w:szCs w:val="24"/>
                <w:lang w:val="sr-Latn-RS"/>
              </w:rPr>
            </w:pPr>
            <w:r w:rsidRPr="00C03E15">
              <w:rPr>
                <w:sz w:val="20"/>
                <w:szCs w:val="24"/>
                <w:lang w:val="sr-Latn-RS"/>
              </w:rPr>
              <w:t>4</w:t>
            </w:r>
          </w:p>
        </w:tc>
        <w:tc>
          <w:tcPr>
            <w:tcW w:w="2790" w:type="dxa"/>
          </w:tcPr>
          <w:p w:rsidR="00261842" w:rsidRPr="00C03E15" w:rsidRDefault="00261842" w:rsidP="00C03E15">
            <w:pPr>
              <w:widowControl w:val="0"/>
              <w:spacing w:line="260" w:lineRule="auto"/>
              <w:rPr>
                <w:szCs w:val="24"/>
                <w:lang w:val="sr-Latn-RS"/>
              </w:rPr>
            </w:pPr>
            <w:r w:rsidRPr="00C03E15">
              <w:rPr>
                <w:sz w:val="20"/>
                <w:szCs w:val="24"/>
                <w:lang w:val="sr-Latn-RS"/>
              </w:rPr>
              <w:t>Izveštaji eksternog revizora u roku od šest meseci od izvršene revizije</w:t>
            </w:r>
          </w:p>
        </w:tc>
        <w:tc>
          <w:tcPr>
            <w:tcW w:w="1260"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NP</w:t>
            </w:r>
          </w:p>
        </w:tc>
        <w:tc>
          <w:tcPr>
            <w:tcW w:w="4752" w:type="dxa"/>
          </w:tcPr>
          <w:p w:rsidR="00261842" w:rsidRPr="00C03E15" w:rsidRDefault="00261842" w:rsidP="00C03E15">
            <w:pPr>
              <w:widowControl w:val="0"/>
              <w:spacing w:line="260" w:lineRule="auto"/>
              <w:rPr>
                <w:szCs w:val="24"/>
                <w:lang w:val="sr-Latn-RS"/>
              </w:rPr>
            </w:pPr>
            <w:r w:rsidRPr="00C03E15">
              <w:rPr>
                <w:sz w:val="20"/>
                <w:szCs w:val="24"/>
                <w:lang w:val="sr-Latn-RS"/>
              </w:rPr>
              <w:t>U opštini do sada nije nikada vršena revizija ali bi izveštaji revizije bili dostupni na zahtev kada bi postojali i nisu objavljeni na sajtu</w:t>
            </w:r>
          </w:p>
        </w:tc>
      </w:tr>
      <w:tr w:rsidR="00261842" w:rsidRPr="00C03E15" w:rsidTr="00C03E15">
        <w:tc>
          <w:tcPr>
            <w:tcW w:w="270" w:type="dxa"/>
          </w:tcPr>
          <w:p w:rsidR="00261842" w:rsidRPr="00C03E15" w:rsidRDefault="00261842" w:rsidP="00C03E15">
            <w:pPr>
              <w:widowControl w:val="0"/>
              <w:jc w:val="center"/>
              <w:rPr>
                <w:sz w:val="20"/>
                <w:szCs w:val="24"/>
                <w:lang w:val="sr-Latn-RS"/>
              </w:rPr>
            </w:pPr>
            <w:r w:rsidRPr="00C03E15">
              <w:rPr>
                <w:sz w:val="20"/>
                <w:szCs w:val="24"/>
                <w:lang w:val="sr-Latn-RS"/>
              </w:rPr>
              <w:t>5</w:t>
            </w:r>
          </w:p>
        </w:tc>
        <w:tc>
          <w:tcPr>
            <w:tcW w:w="2790" w:type="dxa"/>
          </w:tcPr>
          <w:p w:rsidR="00261842" w:rsidRPr="00C03E15" w:rsidRDefault="00261842" w:rsidP="00C03E15">
            <w:pPr>
              <w:widowControl w:val="0"/>
              <w:spacing w:line="260" w:lineRule="auto"/>
              <w:rPr>
                <w:szCs w:val="24"/>
                <w:lang w:val="sr-Latn-RS"/>
              </w:rPr>
            </w:pPr>
            <w:r w:rsidRPr="00C03E15">
              <w:rPr>
                <w:sz w:val="20"/>
                <w:szCs w:val="24"/>
                <w:lang w:val="sr-Latn-RS"/>
              </w:rPr>
              <w:t>Dodeljivanje ugovora preko iznosa od 400.000 dinara</w:t>
            </w:r>
          </w:p>
        </w:tc>
        <w:tc>
          <w:tcPr>
            <w:tcW w:w="1260"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Da</w:t>
            </w:r>
          </w:p>
        </w:tc>
        <w:tc>
          <w:tcPr>
            <w:tcW w:w="4752" w:type="dxa"/>
          </w:tcPr>
          <w:p w:rsidR="00261842" w:rsidRPr="00C03E15" w:rsidRDefault="00261842" w:rsidP="00C03E15">
            <w:pPr>
              <w:widowControl w:val="0"/>
              <w:spacing w:line="260" w:lineRule="auto"/>
              <w:rPr>
                <w:szCs w:val="24"/>
                <w:lang w:val="sr-Latn-RS"/>
              </w:rPr>
            </w:pPr>
            <w:r w:rsidRPr="00C03E15">
              <w:rPr>
                <w:sz w:val="20"/>
                <w:szCs w:val="24"/>
                <w:lang w:val="sr-Latn-RS"/>
              </w:rPr>
              <w:t>Na sajtu opštine i Portalu javnih nabavki do 7 dana po potpisivanju</w:t>
            </w:r>
          </w:p>
        </w:tc>
      </w:tr>
      <w:tr w:rsidR="00261842" w:rsidRPr="00025057" w:rsidTr="00C03E15">
        <w:tc>
          <w:tcPr>
            <w:tcW w:w="270" w:type="dxa"/>
          </w:tcPr>
          <w:p w:rsidR="00261842" w:rsidRPr="00C03E15" w:rsidRDefault="00261842" w:rsidP="00C03E15">
            <w:pPr>
              <w:widowControl w:val="0"/>
              <w:jc w:val="center"/>
              <w:rPr>
                <w:sz w:val="20"/>
                <w:szCs w:val="24"/>
                <w:lang w:val="sr-Latn-RS"/>
              </w:rPr>
            </w:pPr>
            <w:r w:rsidRPr="00C03E15">
              <w:rPr>
                <w:sz w:val="20"/>
                <w:szCs w:val="24"/>
                <w:lang w:val="sr-Latn-RS"/>
              </w:rPr>
              <w:t>6</w:t>
            </w:r>
          </w:p>
        </w:tc>
        <w:tc>
          <w:tcPr>
            <w:tcW w:w="2790" w:type="dxa"/>
          </w:tcPr>
          <w:p w:rsidR="00261842" w:rsidRPr="00C03E15" w:rsidRDefault="00261842" w:rsidP="00C03E15">
            <w:pPr>
              <w:widowControl w:val="0"/>
              <w:spacing w:line="260" w:lineRule="auto"/>
              <w:rPr>
                <w:szCs w:val="24"/>
                <w:lang w:val="sr-Latn-RS"/>
              </w:rPr>
            </w:pPr>
            <w:r w:rsidRPr="00C03E15">
              <w:rPr>
                <w:sz w:val="20"/>
                <w:szCs w:val="24"/>
                <w:lang w:val="sr-Latn-RS"/>
              </w:rPr>
              <w:t>Podaci o sredstvima datim jedinicama koje vrše primarne usluge</w:t>
            </w:r>
          </w:p>
        </w:tc>
        <w:tc>
          <w:tcPr>
            <w:tcW w:w="1260"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Da</w:t>
            </w:r>
          </w:p>
        </w:tc>
        <w:tc>
          <w:tcPr>
            <w:tcW w:w="4752" w:type="dxa"/>
          </w:tcPr>
          <w:p w:rsidR="00261842" w:rsidRPr="00C03E15" w:rsidRDefault="00261842" w:rsidP="00C03E15">
            <w:pPr>
              <w:widowControl w:val="0"/>
              <w:spacing w:line="260" w:lineRule="auto"/>
              <w:rPr>
                <w:szCs w:val="24"/>
                <w:lang w:val="sr-Latn-RS"/>
              </w:rPr>
            </w:pPr>
            <w:r w:rsidRPr="00C03E15">
              <w:rPr>
                <w:sz w:val="20"/>
                <w:szCs w:val="24"/>
                <w:lang w:val="sr-Latn-RS"/>
              </w:rPr>
              <w:t>Postoje podaci o svim ustanovama obrazovanja i zdravlja i mogu se dobiti na zahtev</w:t>
            </w:r>
          </w:p>
        </w:tc>
      </w:tr>
      <w:tr w:rsidR="00261842" w:rsidRPr="00025057" w:rsidTr="00C03E15">
        <w:tc>
          <w:tcPr>
            <w:tcW w:w="270" w:type="dxa"/>
          </w:tcPr>
          <w:p w:rsidR="00261842" w:rsidRPr="00C03E15" w:rsidRDefault="00261842" w:rsidP="00C03E15">
            <w:pPr>
              <w:widowControl w:val="0"/>
              <w:jc w:val="center"/>
              <w:rPr>
                <w:sz w:val="20"/>
                <w:szCs w:val="24"/>
                <w:lang w:val="sr-Latn-RS"/>
              </w:rPr>
            </w:pPr>
            <w:r w:rsidRPr="00C03E15">
              <w:rPr>
                <w:sz w:val="20"/>
                <w:szCs w:val="24"/>
                <w:lang w:val="sr-Latn-RS"/>
              </w:rPr>
              <w:t>7</w:t>
            </w:r>
          </w:p>
        </w:tc>
        <w:tc>
          <w:tcPr>
            <w:tcW w:w="2790" w:type="dxa"/>
          </w:tcPr>
          <w:p w:rsidR="00261842" w:rsidRPr="00C03E15" w:rsidRDefault="00261842" w:rsidP="00C03E15">
            <w:pPr>
              <w:widowControl w:val="0"/>
              <w:spacing w:line="260" w:lineRule="auto"/>
              <w:rPr>
                <w:szCs w:val="24"/>
                <w:lang w:val="sr-Latn-RS"/>
              </w:rPr>
            </w:pPr>
            <w:r w:rsidRPr="00C03E15">
              <w:rPr>
                <w:sz w:val="20"/>
                <w:szCs w:val="24"/>
                <w:lang w:val="sr-Latn-RS"/>
              </w:rPr>
              <w:t xml:space="preserve">Informacije o taksama i porezima koje pripadaju nivou lokalne samouprave (prikupljeni lokalno ili od </w:t>
            </w:r>
            <w:r w:rsidRPr="00C03E15">
              <w:rPr>
                <w:sz w:val="20"/>
                <w:szCs w:val="24"/>
                <w:lang w:val="sr-Latn-RS"/>
              </w:rPr>
              <w:lastRenderedPageBreak/>
              <w:t>strane centralne uprave prihoda)</w:t>
            </w:r>
          </w:p>
        </w:tc>
        <w:tc>
          <w:tcPr>
            <w:tcW w:w="1260"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lastRenderedPageBreak/>
              <w:t>Da</w:t>
            </w:r>
          </w:p>
        </w:tc>
        <w:tc>
          <w:tcPr>
            <w:tcW w:w="4752" w:type="dxa"/>
          </w:tcPr>
          <w:p w:rsidR="00261842" w:rsidRPr="00C03E15" w:rsidRDefault="00261842" w:rsidP="00C03E15">
            <w:pPr>
              <w:widowControl w:val="0"/>
              <w:spacing w:line="240" w:lineRule="auto"/>
              <w:rPr>
                <w:szCs w:val="24"/>
                <w:lang w:val="sr-Latn-RS"/>
              </w:rPr>
            </w:pPr>
            <w:r w:rsidRPr="00C03E15">
              <w:rPr>
                <w:sz w:val="20"/>
                <w:szCs w:val="24"/>
                <w:lang w:val="sr-Latn-RS"/>
              </w:rPr>
              <w:t>Skupštinske odluke o iznosima taksi i poreza objavljuju se u Službenom listu i na sajtu</w:t>
            </w:r>
          </w:p>
          <w:p w:rsidR="00261842" w:rsidRPr="00C03E15" w:rsidRDefault="00261842" w:rsidP="00C03E15">
            <w:pPr>
              <w:widowControl w:val="0"/>
              <w:spacing w:line="240" w:lineRule="auto"/>
              <w:rPr>
                <w:sz w:val="20"/>
                <w:szCs w:val="24"/>
                <w:lang w:val="sr-Latn-RS"/>
              </w:rPr>
            </w:pPr>
          </w:p>
        </w:tc>
      </w:tr>
      <w:tr w:rsidR="00261842" w:rsidRPr="00025057" w:rsidTr="00C03E15">
        <w:tc>
          <w:tcPr>
            <w:tcW w:w="270" w:type="dxa"/>
          </w:tcPr>
          <w:p w:rsidR="00261842" w:rsidRPr="00C03E15" w:rsidRDefault="00261842" w:rsidP="00C03E15">
            <w:pPr>
              <w:widowControl w:val="0"/>
              <w:jc w:val="center"/>
              <w:rPr>
                <w:sz w:val="20"/>
                <w:szCs w:val="24"/>
                <w:lang w:val="sr-Latn-RS"/>
              </w:rPr>
            </w:pPr>
            <w:r w:rsidRPr="00C03E15">
              <w:rPr>
                <w:sz w:val="20"/>
                <w:szCs w:val="24"/>
                <w:lang w:val="sr-Latn-RS"/>
              </w:rPr>
              <w:lastRenderedPageBreak/>
              <w:t>8</w:t>
            </w:r>
          </w:p>
        </w:tc>
        <w:tc>
          <w:tcPr>
            <w:tcW w:w="2790" w:type="dxa"/>
          </w:tcPr>
          <w:p w:rsidR="00261842" w:rsidRPr="00C03E15" w:rsidRDefault="00261842" w:rsidP="00C03E15">
            <w:pPr>
              <w:widowControl w:val="0"/>
              <w:spacing w:line="260" w:lineRule="auto"/>
              <w:rPr>
                <w:szCs w:val="24"/>
                <w:lang w:val="sr-Latn-RS"/>
              </w:rPr>
            </w:pPr>
            <w:r w:rsidRPr="00C03E15">
              <w:rPr>
                <w:sz w:val="20"/>
                <w:szCs w:val="24"/>
                <w:lang w:val="sr-Latn-RS"/>
              </w:rPr>
              <w:t>Informacije o uslugama koje se pružaju u zajednici, kao što su snabdevanje vodom, kanalizacija, javna rasveta itd.</w:t>
            </w:r>
          </w:p>
        </w:tc>
        <w:tc>
          <w:tcPr>
            <w:tcW w:w="1260" w:type="dxa"/>
          </w:tcPr>
          <w:p w:rsidR="00261842" w:rsidRPr="00C03E15" w:rsidRDefault="00261842" w:rsidP="00C03E15">
            <w:pPr>
              <w:widowControl w:val="0"/>
              <w:spacing w:line="260" w:lineRule="auto"/>
              <w:jc w:val="center"/>
              <w:rPr>
                <w:szCs w:val="24"/>
                <w:lang w:val="sr-Latn-RS"/>
              </w:rPr>
            </w:pPr>
            <w:r w:rsidRPr="00C03E15">
              <w:rPr>
                <w:sz w:val="20"/>
                <w:szCs w:val="24"/>
                <w:lang w:val="sr-Latn-RS"/>
              </w:rPr>
              <w:t>Da</w:t>
            </w:r>
          </w:p>
        </w:tc>
        <w:tc>
          <w:tcPr>
            <w:tcW w:w="4752" w:type="dxa"/>
          </w:tcPr>
          <w:p w:rsidR="00261842" w:rsidRPr="00C03E15" w:rsidRDefault="00261842" w:rsidP="00C03E15">
            <w:pPr>
              <w:widowControl w:val="0"/>
              <w:spacing w:line="260" w:lineRule="auto"/>
              <w:rPr>
                <w:szCs w:val="24"/>
                <w:lang w:val="sr-Latn-RS"/>
              </w:rPr>
            </w:pPr>
            <w:r w:rsidRPr="00C03E15">
              <w:rPr>
                <w:sz w:val="20"/>
                <w:szCs w:val="24"/>
                <w:lang w:val="sr-Latn-RS"/>
              </w:rPr>
              <w:t>Godišnji plan rada i njegovo izvršenje, kao i finansijski izveštaji su dostupni na internet stranici i objavljuju se u SG nakon usvajanja u Skupštini.</w:t>
            </w:r>
          </w:p>
        </w:tc>
      </w:tr>
    </w:tbl>
    <w:p w:rsidR="00261842" w:rsidRPr="001E4CDF" w:rsidRDefault="00261842">
      <w:pPr>
        <w:autoSpaceDE w:val="0"/>
        <w:autoSpaceDN w:val="0"/>
        <w:adjustRightInd w:val="0"/>
        <w:rPr>
          <w:b/>
          <w:szCs w:val="24"/>
          <w:lang w:val="sr-Latn-RS"/>
        </w:rPr>
      </w:pPr>
    </w:p>
    <w:p w:rsidR="00261842" w:rsidRPr="001E4CDF" w:rsidRDefault="00261842">
      <w:pPr>
        <w:autoSpaceDE w:val="0"/>
        <w:autoSpaceDN w:val="0"/>
        <w:adjustRightInd w:val="0"/>
        <w:rPr>
          <w:b/>
          <w:szCs w:val="24"/>
          <w:lang w:val="sr-Latn-RS"/>
        </w:rPr>
      </w:pPr>
    </w:p>
    <w:p w:rsidR="00261842" w:rsidRPr="00A35519" w:rsidRDefault="00261842">
      <w:pPr>
        <w:pStyle w:val="Heading2"/>
        <w:spacing w:line="260" w:lineRule="auto"/>
        <w:rPr>
          <w:rFonts w:cs="Times New Roman"/>
          <w:bCs w:val="0"/>
          <w:iCs w:val="0"/>
          <w:szCs w:val="24"/>
          <w:lang w:val="sr-Latn-RS"/>
        </w:rPr>
      </w:pPr>
      <w:bookmarkStart w:id="13" w:name="_Toc421138247"/>
      <w:r w:rsidRPr="00A35519">
        <w:rPr>
          <w:rFonts w:cs="Times New Roman"/>
          <w:bCs w:val="0"/>
          <w:iCs w:val="0"/>
          <w:szCs w:val="24"/>
          <w:lang w:val="sr-Latn-RS"/>
        </w:rPr>
        <w:t>Priprema budžeta u skladu sa definisanim politikama</w:t>
      </w:r>
      <w:bookmarkEnd w:id="13"/>
    </w:p>
    <w:p w:rsidR="00261842" w:rsidRPr="001E4CDF" w:rsidRDefault="00261842">
      <w:pPr>
        <w:spacing w:line="260" w:lineRule="auto"/>
        <w:rPr>
          <w:b/>
          <w:szCs w:val="24"/>
          <w:lang w:val="sr-Latn-RS"/>
        </w:rPr>
      </w:pPr>
      <w:r w:rsidRPr="001E4CDF">
        <w:rPr>
          <w:b/>
          <w:sz w:val="20"/>
          <w:szCs w:val="24"/>
          <w:lang w:val="sr-Latn-RS"/>
        </w:rPr>
        <w:t xml:space="preserve">PU-11 </w:t>
      </w:r>
      <w:r w:rsidRPr="001E4CDF">
        <w:rPr>
          <w:b/>
          <w:sz w:val="22"/>
          <w:szCs w:val="24"/>
          <w:lang w:val="sr-Latn-RS"/>
        </w:rPr>
        <w:t>Uređenost i učešće u procesu donošenja godišnjeg budžeta</w:t>
      </w:r>
    </w:p>
    <w:p w:rsidR="00261842" w:rsidRPr="001E4CDF" w:rsidRDefault="00261842">
      <w:pPr>
        <w:rPr>
          <w:szCs w:val="24"/>
          <w:lang w:val="sr-Latn-RS"/>
        </w:rPr>
      </w:pPr>
    </w:p>
    <w:tbl>
      <w:tblPr>
        <w:tblW w:w="8944" w:type="dxa"/>
        <w:tblInd w:w="95" w:type="dxa"/>
        <w:tblLayout w:type="fixed"/>
        <w:tblLook w:val="04A0" w:firstRow="1" w:lastRow="0" w:firstColumn="1" w:lastColumn="0" w:noHBand="0" w:noVBand="1"/>
      </w:tblPr>
      <w:tblGrid>
        <w:gridCol w:w="2990"/>
        <w:gridCol w:w="1134"/>
        <w:gridCol w:w="4820"/>
      </w:tblGrid>
      <w:tr w:rsidR="00261842" w:rsidRPr="00025057">
        <w:trPr>
          <w:trHeight w:val="300"/>
        </w:trPr>
        <w:tc>
          <w:tcPr>
            <w:tcW w:w="2990" w:type="dxa"/>
            <w:tcBorders>
              <w:top w:val="single" w:sz="4" w:space="0" w:color="auto"/>
              <w:left w:val="single" w:sz="4" w:space="0" w:color="auto"/>
              <w:bottom w:val="single" w:sz="4" w:space="0" w:color="auto"/>
              <w:right w:val="single" w:sz="4" w:space="0" w:color="auto"/>
            </w:tcBorders>
            <w:shd w:val="clear" w:color="auto" w:fill="D2EFFF"/>
            <w:vAlign w:val="center"/>
          </w:tcPr>
          <w:p w:rsidR="00261842" w:rsidRPr="00C03E15" w:rsidRDefault="00261842">
            <w:pPr>
              <w:spacing w:line="240" w:lineRule="auto"/>
              <w:rPr>
                <w:b/>
                <w:sz w:val="20"/>
                <w:szCs w:val="24"/>
                <w:lang w:val="sr-Latn-RS"/>
              </w:rPr>
            </w:pPr>
          </w:p>
        </w:tc>
        <w:tc>
          <w:tcPr>
            <w:tcW w:w="5954" w:type="dxa"/>
            <w:gridSpan w:val="2"/>
            <w:tcBorders>
              <w:top w:val="single" w:sz="4" w:space="0" w:color="auto"/>
              <w:left w:val="nil"/>
              <w:bottom w:val="single" w:sz="4" w:space="0" w:color="auto"/>
              <w:right w:val="single" w:sz="4" w:space="0" w:color="auto"/>
            </w:tcBorders>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M2)</w:t>
            </w:r>
          </w:p>
        </w:tc>
      </w:tr>
      <w:tr w:rsidR="00261842" w:rsidRPr="00C03E15">
        <w:trPr>
          <w:trHeight w:val="300"/>
        </w:trPr>
        <w:tc>
          <w:tcPr>
            <w:tcW w:w="2990" w:type="dxa"/>
            <w:tcBorders>
              <w:top w:val="single" w:sz="4" w:space="0" w:color="auto"/>
              <w:left w:val="single" w:sz="4" w:space="0" w:color="auto"/>
              <w:bottom w:val="single" w:sz="4" w:space="0" w:color="auto"/>
              <w:right w:val="single" w:sz="4" w:space="0" w:color="auto"/>
            </w:tcBorders>
            <w:shd w:val="clear" w:color="auto" w:fill="D2EFFF"/>
            <w:vAlign w:val="center"/>
            <w:hideMark/>
          </w:tcPr>
          <w:p w:rsidR="00261842" w:rsidRPr="00C03E15" w:rsidRDefault="00261842">
            <w:pPr>
              <w:spacing w:line="240" w:lineRule="auto"/>
              <w:rPr>
                <w:b/>
                <w:sz w:val="20"/>
                <w:szCs w:val="24"/>
                <w:lang w:val="sr-Latn-RS"/>
              </w:rPr>
            </w:pPr>
          </w:p>
        </w:tc>
        <w:tc>
          <w:tcPr>
            <w:tcW w:w="1134"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b/>
                <w:sz w:val="20"/>
                <w:szCs w:val="24"/>
                <w:lang w:val="sr-Latn-RS"/>
              </w:rPr>
            </w:pPr>
            <w:r w:rsidRPr="00C03E15">
              <w:rPr>
                <w:b/>
                <w:sz w:val="20"/>
                <w:szCs w:val="24"/>
                <w:lang w:val="sr-Latn-RS"/>
              </w:rPr>
              <w:t>2014</w:t>
            </w:r>
          </w:p>
        </w:tc>
        <w:tc>
          <w:tcPr>
            <w:tcW w:w="4820"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szCs w:val="24"/>
                <w:lang w:val="sr-Latn-RS"/>
              </w:rPr>
            </w:pPr>
            <w:r w:rsidRPr="00C03E15">
              <w:rPr>
                <w:b/>
                <w:sz w:val="20"/>
                <w:szCs w:val="24"/>
                <w:lang w:val="sr-Latn-RS"/>
              </w:rPr>
              <w:t>Objašnjenje</w:t>
            </w:r>
          </w:p>
        </w:tc>
      </w:tr>
      <w:tr w:rsidR="00261842" w:rsidRPr="00C03E15">
        <w:trPr>
          <w:trHeight w:val="638"/>
        </w:trPr>
        <w:tc>
          <w:tcPr>
            <w:tcW w:w="2990" w:type="dxa"/>
            <w:tcBorders>
              <w:top w:val="single" w:sz="4" w:space="0" w:color="auto"/>
              <w:left w:val="single" w:sz="4" w:space="0" w:color="auto"/>
              <w:bottom w:val="single" w:sz="4" w:space="0" w:color="auto"/>
              <w:right w:val="single" w:sz="4" w:space="0" w:color="auto"/>
            </w:tcBorders>
            <w:vAlign w:val="center"/>
          </w:tcPr>
          <w:p w:rsidR="00261842" w:rsidRPr="00C03E15" w:rsidRDefault="00261842">
            <w:pPr>
              <w:spacing w:line="260" w:lineRule="auto"/>
              <w:rPr>
                <w:szCs w:val="24"/>
                <w:lang w:val="sr-Latn-RS"/>
              </w:rPr>
            </w:pPr>
            <w:r w:rsidRPr="00C03E15">
              <w:rPr>
                <w:b/>
                <w:sz w:val="20"/>
                <w:szCs w:val="24"/>
                <w:lang w:val="sr-Latn-RS"/>
              </w:rPr>
              <w:t xml:space="preserve">PU-11 </w:t>
            </w:r>
            <w:r w:rsidRPr="00C03E15">
              <w:rPr>
                <w:b/>
                <w:sz w:val="22"/>
                <w:szCs w:val="24"/>
                <w:lang w:val="sr-Latn-RS"/>
              </w:rPr>
              <w:t>Uređenost i učešće u procesu donošenja godišnjeg budžeta</w:t>
            </w:r>
          </w:p>
        </w:tc>
        <w:tc>
          <w:tcPr>
            <w:tcW w:w="1134"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b/>
                <w:sz w:val="20"/>
                <w:szCs w:val="24"/>
                <w:lang w:val="sr-Latn-RS"/>
              </w:rPr>
              <w:t xml:space="preserve">Ocena B </w:t>
            </w:r>
          </w:p>
        </w:tc>
        <w:tc>
          <w:tcPr>
            <w:tcW w:w="4820" w:type="dxa"/>
            <w:tcBorders>
              <w:top w:val="single" w:sz="4" w:space="0" w:color="auto"/>
              <w:left w:val="nil"/>
              <w:bottom w:val="single" w:sz="4" w:space="0" w:color="auto"/>
              <w:right w:val="single" w:sz="4" w:space="0" w:color="auto"/>
            </w:tcBorders>
            <w:vAlign w:val="center"/>
          </w:tcPr>
          <w:p w:rsidR="00261842" w:rsidRPr="00C03E15" w:rsidRDefault="00261842">
            <w:pPr>
              <w:spacing w:line="240" w:lineRule="auto"/>
              <w:jc w:val="center"/>
              <w:rPr>
                <w:b/>
                <w:sz w:val="20"/>
                <w:szCs w:val="24"/>
                <w:lang w:val="sr-Latn-RS"/>
              </w:rPr>
            </w:pPr>
          </w:p>
        </w:tc>
      </w:tr>
      <w:tr w:rsidR="00261842" w:rsidRPr="00025057">
        <w:trPr>
          <w:trHeight w:val="638"/>
        </w:trPr>
        <w:tc>
          <w:tcPr>
            <w:tcW w:w="2990"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 xml:space="preserve">(i) </w:t>
            </w:r>
            <w:r w:rsidRPr="00C03E15">
              <w:rPr>
                <w:sz w:val="22"/>
                <w:szCs w:val="24"/>
                <w:lang w:val="sr-Latn-RS"/>
              </w:rPr>
              <w:t>Postojanje i poštovanje fiksnog budžetskog kalendara.</w:t>
            </w:r>
          </w:p>
        </w:tc>
        <w:tc>
          <w:tcPr>
            <w:tcW w:w="1134"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sz w:val="20"/>
                <w:szCs w:val="24"/>
                <w:lang w:val="sr-Latn-RS"/>
              </w:rPr>
              <w:t>B</w:t>
            </w:r>
          </w:p>
        </w:tc>
        <w:tc>
          <w:tcPr>
            <w:tcW w:w="4820" w:type="dxa"/>
            <w:tcBorders>
              <w:top w:val="single" w:sz="4" w:space="0" w:color="auto"/>
              <w:left w:val="nil"/>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Postoji jasno definisan kalendar, ali često dolazi kašnjenja u njegovoj primeni. Kalendar ostavlja budžetskim korisnicima dovoljno vremena (najmanje 4 nedelje od dostavljanja uputstva za pripremu budžeta) pa većina može na vreme da završi detaljne procene.</w:t>
            </w:r>
          </w:p>
        </w:tc>
      </w:tr>
      <w:tr w:rsidR="00261842" w:rsidRPr="00025057">
        <w:trPr>
          <w:trHeight w:val="638"/>
        </w:trPr>
        <w:tc>
          <w:tcPr>
            <w:tcW w:w="2990"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xml:space="preserve">) Jasnoća i </w:t>
            </w:r>
            <w:proofErr w:type="spellStart"/>
            <w:r w:rsidRPr="00C03E15">
              <w:rPr>
                <w:sz w:val="20"/>
                <w:szCs w:val="24"/>
                <w:lang w:val="sr-Latn-RS"/>
              </w:rPr>
              <w:t>sveobuhvatnost</w:t>
            </w:r>
            <w:proofErr w:type="spellEnd"/>
            <w:r w:rsidRPr="00C03E15">
              <w:rPr>
                <w:sz w:val="20"/>
                <w:szCs w:val="24"/>
                <w:lang w:val="sr-Latn-RS"/>
              </w:rPr>
              <w:t xml:space="preserve"> uputstva za pripremu predloga budžeta</w:t>
            </w:r>
          </w:p>
        </w:tc>
        <w:tc>
          <w:tcPr>
            <w:tcW w:w="1134"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sz w:val="20"/>
                <w:szCs w:val="24"/>
                <w:lang w:val="sr-Latn-RS"/>
              </w:rPr>
              <w:t>D</w:t>
            </w:r>
          </w:p>
        </w:tc>
        <w:tc>
          <w:tcPr>
            <w:tcW w:w="4820" w:type="dxa"/>
            <w:tcBorders>
              <w:top w:val="single" w:sz="4" w:space="0" w:color="auto"/>
              <w:left w:val="nil"/>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 xml:space="preserve">Gradsko veće je uključeno u odobravanje </w:t>
            </w:r>
            <w:proofErr w:type="spellStart"/>
            <w:r w:rsidRPr="00C03E15">
              <w:rPr>
                <w:sz w:val="20"/>
                <w:szCs w:val="24"/>
                <w:lang w:val="sr-Latn-RS"/>
              </w:rPr>
              <w:t>aproprijacija</w:t>
            </w:r>
            <w:proofErr w:type="spellEnd"/>
            <w:r w:rsidRPr="00C03E15">
              <w:rPr>
                <w:sz w:val="20"/>
                <w:szCs w:val="24"/>
                <w:lang w:val="sr-Latn-RS"/>
              </w:rPr>
              <w:t xml:space="preserve"> neposredno pred podnošenje detaljnih procena zakonodavnom telu, tako da nema mogućnosti za prilagođavanje</w:t>
            </w:r>
          </w:p>
        </w:tc>
      </w:tr>
      <w:tr w:rsidR="00261842" w:rsidRPr="00025057">
        <w:trPr>
          <w:trHeight w:val="638"/>
        </w:trPr>
        <w:tc>
          <w:tcPr>
            <w:tcW w:w="2990"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Blagovremeno usvajanje budžeta od strane zakonodavne vlasti ili sličnog tela (u poslednje tri godine)</w:t>
            </w:r>
          </w:p>
        </w:tc>
        <w:tc>
          <w:tcPr>
            <w:tcW w:w="1134"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sz w:val="20"/>
                <w:szCs w:val="24"/>
                <w:lang w:val="sr-Latn-RS"/>
              </w:rPr>
              <w:t>A</w:t>
            </w:r>
          </w:p>
        </w:tc>
        <w:tc>
          <w:tcPr>
            <w:tcW w:w="4820" w:type="dxa"/>
            <w:tcBorders>
              <w:top w:val="single" w:sz="4" w:space="0" w:color="auto"/>
              <w:left w:val="nil"/>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Skupština je tokom prethodne tri godine odobrila budžet pre početka fiskalna godine.</w:t>
            </w:r>
          </w:p>
        </w:tc>
      </w:tr>
    </w:tbl>
    <w:p w:rsidR="00261842" w:rsidRPr="001E4CDF" w:rsidRDefault="00261842">
      <w:pPr>
        <w:pStyle w:val="ParagraphNumbering"/>
        <w:numPr>
          <w:ilvl w:val="0"/>
          <w:numId w:val="0"/>
        </w:numPr>
        <w:rPr>
          <w:lang w:val="sr-Latn-RS"/>
        </w:rPr>
      </w:pPr>
    </w:p>
    <w:p w:rsidR="00261842" w:rsidRPr="001E4CDF" w:rsidRDefault="00261842" w:rsidP="00A35519">
      <w:pPr>
        <w:pStyle w:val="ParagraphNumbering"/>
        <w:numPr>
          <w:ilvl w:val="0"/>
          <w:numId w:val="0"/>
        </w:numPr>
        <w:spacing w:line="240" w:lineRule="auto"/>
        <w:jc w:val="both"/>
        <w:rPr>
          <w:b/>
          <w:lang w:val="sr-Latn-RS"/>
        </w:rPr>
      </w:pPr>
      <w:r w:rsidRPr="001E4CDF">
        <w:rPr>
          <w:lang w:val="sr-Latn-RS"/>
        </w:rPr>
        <w:t xml:space="preserve">Ovaj indikator ima za cilj da proceni da li se priprema budžeta pridržava fiksnog i predvidivog budžetskog kalendara svake godine i organizuje na način koji olakšava  efikasno učestvovanje budžetskih korisnika, kao i uticaj kabineta i političkog rukovodstva u procesu pripreme budžeta.  On takođe ocenjuje da li uputstva data budžetskim korisnicima za pripremu budžetskih dokumenata odražavaju političke odluke o raspodeli raspoloživih sredstava, kao i da li Uputstvo za pripremu budžeta određuje ograničenja koja budžetski korisnici moraju da poštuju.  Procena ovog pokazatelja je na osnovu dokumentacije za budžet za 2014. </w:t>
      </w:r>
    </w:p>
    <w:p w:rsidR="00261842" w:rsidRPr="001E4CDF" w:rsidRDefault="00261842">
      <w:pPr>
        <w:spacing w:line="260" w:lineRule="auto"/>
        <w:rPr>
          <w:b/>
          <w:szCs w:val="24"/>
          <w:lang w:val="sr-Latn-RS"/>
        </w:rPr>
      </w:pPr>
      <w:r w:rsidRPr="001E4CDF">
        <w:rPr>
          <w:b/>
          <w:szCs w:val="24"/>
          <w:lang w:val="sr-Latn-RS"/>
        </w:rPr>
        <w:t>(i) Postojanje fiksnog budžetskog kalendara i njegovo poštovanje.</w:t>
      </w:r>
    </w:p>
    <w:p w:rsidR="00261842" w:rsidRPr="001E4CDF" w:rsidRDefault="00261842">
      <w:pPr>
        <w:rPr>
          <w:szCs w:val="24"/>
          <w:lang w:val="sr-Latn-RS"/>
        </w:rPr>
      </w:pPr>
    </w:p>
    <w:p w:rsidR="00261842" w:rsidRPr="001E4CDF" w:rsidRDefault="00261842" w:rsidP="00A35519">
      <w:pPr>
        <w:spacing w:line="260" w:lineRule="auto"/>
        <w:jc w:val="both"/>
        <w:rPr>
          <w:szCs w:val="24"/>
          <w:lang w:val="sr-Latn-RS"/>
        </w:rPr>
      </w:pPr>
      <w:r w:rsidRPr="001E4CDF">
        <w:rPr>
          <w:szCs w:val="24"/>
          <w:lang w:val="sr-Latn-RS"/>
        </w:rPr>
        <w:lastRenderedPageBreak/>
        <w:t>Član 31. Zakona o budžetskom sistemu propisuje budžetski kalendar koji su opštine dužne da primenjuju.  Pridržavanje opštinskog budžetskog kalendara zavisi od toga kada Ministarstvo finansija objavljuje fiskalnu strategiju i Uputstvo (koje uključuje i iznos nenamenskog transfera).  Zahtevi Zakona i stvarna primena kalendara za pripremu budžeta 2014 su dati detaljno u nastavku.</w:t>
      </w:r>
    </w:p>
    <w:p w:rsidR="00261842" w:rsidRDefault="00261842">
      <w:pPr>
        <w:rPr>
          <w:szCs w:val="24"/>
          <w:lang w:val="sr-Latn-RS"/>
        </w:rPr>
      </w:pPr>
    </w:p>
    <w:p w:rsidR="00A35519" w:rsidRDefault="00A35519">
      <w:pPr>
        <w:rPr>
          <w:szCs w:val="24"/>
          <w:lang w:val="sr-Latn-RS"/>
        </w:rPr>
      </w:pPr>
    </w:p>
    <w:p w:rsidR="00A35519" w:rsidRPr="001E4CDF" w:rsidRDefault="00A35519">
      <w:pPr>
        <w:rPr>
          <w:szCs w:val="24"/>
          <w:lang w:val="sr-Latn-RS"/>
        </w:rPr>
      </w:pPr>
    </w:p>
    <w:p w:rsidR="00261842" w:rsidRPr="001E4CDF" w:rsidRDefault="00261842">
      <w:pPr>
        <w:rPr>
          <w:szCs w:val="24"/>
          <w:lang w:val="sr-Latn-RS"/>
        </w:rPr>
      </w:pPr>
    </w:p>
    <w:p w:rsidR="00261842" w:rsidRPr="001E4CDF" w:rsidRDefault="00261842">
      <w:pPr>
        <w:spacing w:line="260" w:lineRule="auto"/>
        <w:jc w:val="center"/>
        <w:rPr>
          <w:szCs w:val="24"/>
          <w:lang w:val="sr-Latn-RS"/>
        </w:rPr>
      </w:pPr>
      <w:r w:rsidRPr="001E4CDF">
        <w:rPr>
          <w:szCs w:val="24"/>
          <w:lang w:val="sr-Latn-RS"/>
        </w:rPr>
        <w:t>Opštinski budžetski kalendar</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984"/>
        <w:gridCol w:w="2126"/>
      </w:tblGrid>
      <w:tr w:rsidR="00261842" w:rsidRPr="00C03E15" w:rsidTr="00C03E15">
        <w:tc>
          <w:tcPr>
            <w:tcW w:w="6091" w:type="dxa"/>
          </w:tcPr>
          <w:p w:rsidR="00261842" w:rsidRPr="00C03E15" w:rsidRDefault="00261842" w:rsidP="00C03E15">
            <w:pPr>
              <w:spacing w:line="260" w:lineRule="auto"/>
              <w:jc w:val="center"/>
              <w:rPr>
                <w:szCs w:val="24"/>
                <w:lang w:val="sr-Latn-RS"/>
              </w:rPr>
            </w:pPr>
            <w:r w:rsidRPr="00C03E15">
              <w:rPr>
                <w:szCs w:val="24"/>
                <w:lang w:val="sr-Latn-RS"/>
              </w:rPr>
              <w:t>Radnja</w:t>
            </w:r>
          </w:p>
        </w:tc>
        <w:tc>
          <w:tcPr>
            <w:tcW w:w="1984" w:type="dxa"/>
          </w:tcPr>
          <w:p w:rsidR="00261842" w:rsidRPr="00C03E15" w:rsidRDefault="00261842" w:rsidP="00C03E15">
            <w:pPr>
              <w:spacing w:line="260" w:lineRule="auto"/>
              <w:rPr>
                <w:szCs w:val="24"/>
                <w:lang w:val="sr-Latn-RS"/>
              </w:rPr>
            </w:pPr>
            <w:r w:rsidRPr="00C03E15">
              <w:rPr>
                <w:szCs w:val="24"/>
                <w:lang w:val="sr-Latn-RS"/>
              </w:rPr>
              <w:t>Zakonski rok</w:t>
            </w:r>
          </w:p>
        </w:tc>
        <w:tc>
          <w:tcPr>
            <w:tcW w:w="2126" w:type="dxa"/>
          </w:tcPr>
          <w:p w:rsidR="00261842" w:rsidRPr="00C03E15" w:rsidRDefault="00261842" w:rsidP="00C03E15">
            <w:pPr>
              <w:spacing w:line="260" w:lineRule="auto"/>
              <w:rPr>
                <w:szCs w:val="24"/>
                <w:lang w:val="sr-Latn-RS"/>
              </w:rPr>
            </w:pPr>
            <w:r w:rsidRPr="00C03E15">
              <w:rPr>
                <w:szCs w:val="24"/>
                <w:lang w:val="sr-Latn-RS"/>
              </w:rPr>
              <w:t>Aktuelni rok u budžetu 2014</w:t>
            </w:r>
          </w:p>
        </w:tc>
      </w:tr>
      <w:tr w:rsidR="00261842" w:rsidRPr="00C03E15" w:rsidTr="00C03E15">
        <w:tc>
          <w:tcPr>
            <w:tcW w:w="6091" w:type="dxa"/>
          </w:tcPr>
          <w:p w:rsidR="00261842" w:rsidRPr="00C03E15" w:rsidRDefault="00261842" w:rsidP="00C03E15">
            <w:pPr>
              <w:spacing w:line="260" w:lineRule="auto"/>
              <w:rPr>
                <w:szCs w:val="24"/>
                <w:lang w:val="sr-Latn-RS"/>
              </w:rPr>
            </w:pPr>
            <w:r w:rsidRPr="00C03E15">
              <w:rPr>
                <w:szCs w:val="24"/>
                <w:lang w:val="sr-Latn-RS"/>
              </w:rPr>
              <w:t>Ministarstvo finansija dostavlja uputstva za pripremu odluke o budžetu za lokalnu samoupravu, kao i budžetske strategije organizacijama za obavezno socijalno osiguranje</w:t>
            </w:r>
          </w:p>
        </w:tc>
        <w:tc>
          <w:tcPr>
            <w:tcW w:w="1984" w:type="dxa"/>
          </w:tcPr>
          <w:p w:rsidR="00261842" w:rsidRPr="00C03E15" w:rsidRDefault="00261842" w:rsidP="00C03E15">
            <w:pPr>
              <w:spacing w:line="260" w:lineRule="auto"/>
              <w:rPr>
                <w:szCs w:val="24"/>
                <w:lang w:val="sr-Latn-RS"/>
              </w:rPr>
            </w:pPr>
            <w:r w:rsidRPr="00C03E15">
              <w:rPr>
                <w:szCs w:val="24"/>
                <w:lang w:val="sr-Latn-RS"/>
              </w:rPr>
              <w:t>5. juli</w:t>
            </w:r>
          </w:p>
        </w:tc>
        <w:tc>
          <w:tcPr>
            <w:tcW w:w="2126" w:type="dxa"/>
          </w:tcPr>
          <w:p w:rsidR="00261842" w:rsidRPr="00C03E15" w:rsidRDefault="00261842" w:rsidP="00C03E15">
            <w:pPr>
              <w:spacing w:line="260" w:lineRule="auto"/>
              <w:rPr>
                <w:szCs w:val="24"/>
                <w:lang w:val="sr-Latn-RS"/>
              </w:rPr>
            </w:pPr>
            <w:r w:rsidRPr="00C03E15">
              <w:rPr>
                <w:szCs w:val="24"/>
                <w:lang w:val="sr-Latn-RS"/>
              </w:rPr>
              <w:t>7. okt 2013.</w:t>
            </w:r>
          </w:p>
        </w:tc>
      </w:tr>
      <w:tr w:rsidR="00261842" w:rsidRPr="00025057" w:rsidTr="00C03E15">
        <w:tc>
          <w:tcPr>
            <w:tcW w:w="6091" w:type="dxa"/>
          </w:tcPr>
          <w:p w:rsidR="00261842" w:rsidRPr="00C03E15" w:rsidRDefault="00261842" w:rsidP="00C03E15">
            <w:pPr>
              <w:spacing w:line="260" w:lineRule="auto"/>
              <w:rPr>
                <w:szCs w:val="24"/>
                <w:lang w:val="sr-Latn-RS"/>
              </w:rPr>
            </w:pPr>
            <w:r w:rsidRPr="00C03E15">
              <w:rPr>
                <w:szCs w:val="24"/>
                <w:lang w:val="sr-Latn-RS"/>
              </w:rPr>
              <w:t>Lokalni organ uprave nadležan za finansije dostavlja uputstvo za pripremu nacrta budžeta lokalne vlasti</w:t>
            </w:r>
          </w:p>
        </w:tc>
        <w:tc>
          <w:tcPr>
            <w:tcW w:w="1984" w:type="dxa"/>
          </w:tcPr>
          <w:p w:rsidR="00261842" w:rsidRPr="00C03E15" w:rsidRDefault="00261842" w:rsidP="00C03E15">
            <w:pPr>
              <w:spacing w:line="260" w:lineRule="auto"/>
              <w:rPr>
                <w:szCs w:val="24"/>
                <w:lang w:val="sr-Latn-RS"/>
              </w:rPr>
            </w:pPr>
            <w:r w:rsidRPr="00C03E15">
              <w:rPr>
                <w:szCs w:val="24"/>
                <w:lang w:val="sr-Latn-RS"/>
              </w:rPr>
              <w:t xml:space="preserve">1. avgust </w:t>
            </w:r>
          </w:p>
        </w:tc>
        <w:tc>
          <w:tcPr>
            <w:tcW w:w="2126" w:type="dxa"/>
          </w:tcPr>
          <w:p w:rsidR="00261842" w:rsidRPr="00C03E15" w:rsidRDefault="00261842" w:rsidP="00C03E15">
            <w:pPr>
              <w:spacing w:line="260" w:lineRule="auto"/>
              <w:rPr>
                <w:szCs w:val="24"/>
                <w:lang w:val="sr-Latn-RS"/>
              </w:rPr>
            </w:pPr>
            <w:r w:rsidRPr="00C03E15">
              <w:rPr>
                <w:szCs w:val="24"/>
                <w:lang w:val="sr-Latn-RS"/>
              </w:rPr>
              <w:t>31. juli 2013.  Na osnovu uputstva Ministarstva finansija, 8. oktobra izvršena korekcija</w:t>
            </w:r>
          </w:p>
        </w:tc>
      </w:tr>
      <w:tr w:rsidR="00261842" w:rsidRPr="00025057" w:rsidTr="00C03E15">
        <w:tc>
          <w:tcPr>
            <w:tcW w:w="6091" w:type="dxa"/>
          </w:tcPr>
          <w:p w:rsidR="00261842" w:rsidRPr="00C03E15" w:rsidRDefault="00261842" w:rsidP="00C03E15">
            <w:pPr>
              <w:spacing w:line="260" w:lineRule="auto"/>
              <w:rPr>
                <w:szCs w:val="24"/>
                <w:lang w:val="sr-Latn-RS"/>
              </w:rPr>
            </w:pPr>
            <w:r w:rsidRPr="00C03E15">
              <w:rPr>
                <w:szCs w:val="24"/>
                <w:lang w:val="sr-Latn-RS"/>
              </w:rPr>
              <w:t>Direktni korisnici sredstava budžeta lokalne vlasti dostavljaju predlog finansijskog plana lokalnom organu uprave nadležnom za finansije za budžetsku i naredne dve fiskalne godine</w:t>
            </w:r>
          </w:p>
        </w:tc>
        <w:tc>
          <w:tcPr>
            <w:tcW w:w="1984" w:type="dxa"/>
          </w:tcPr>
          <w:p w:rsidR="00261842" w:rsidRPr="00C03E15" w:rsidRDefault="00261842" w:rsidP="00C03E15">
            <w:pPr>
              <w:spacing w:line="260" w:lineRule="auto"/>
              <w:rPr>
                <w:szCs w:val="24"/>
                <w:lang w:val="sr-Latn-RS"/>
              </w:rPr>
            </w:pPr>
            <w:r w:rsidRPr="00C03E15">
              <w:rPr>
                <w:szCs w:val="24"/>
                <w:lang w:val="sr-Latn-RS"/>
              </w:rPr>
              <w:t>1. septembar</w:t>
            </w:r>
          </w:p>
        </w:tc>
        <w:tc>
          <w:tcPr>
            <w:tcW w:w="2126" w:type="dxa"/>
          </w:tcPr>
          <w:p w:rsidR="00261842" w:rsidRPr="00C03E15" w:rsidRDefault="00261842" w:rsidP="00C03E15">
            <w:pPr>
              <w:spacing w:line="260" w:lineRule="auto"/>
              <w:rPr>
                <w:szCs w:val="24"/>
                <w:lang w:val="sr-Latn-RS"/>
              </w:rPr>
            </w:pPr>
            <w:r w:rsidRPr="00C03E15">
              <w:rPr>
                <w:szCs w:val="24"/>
                <w:lang w:val="sr-Latn-RS"/>
              </w:rPr>
              <w:t>Prvi predlog finansijskog plana 1. septembar</w:t>
            </w:r>
          </w:p>
          <w:p w:rsidR="00261842" w:rsidRPr="00C03E15" w:rsidRDefault="00261842" w:rsidP="00C03E15">
            <w:pPr>
              <w:spacing w:line="260" w:lineRule="auto"/>
              <w:rPr>
                <w:szCs w:val="24"/>
                <w:lang w:val="sr-Latn-RS"/>
              </w:rPr>
            </w:pPr>
            <w:r w:rsidRPr="00C03E15">
              <w:rPr>
                <w:szCs w:val="24"/>
                <w:lang w:val="sr-Latn-RS"/>
              </w:rPr>
              <w:t>Korekcija 11. oktobra</w:t>
            </w:r>
          </w:p>
        </w:tc>
      </w:tr>
      <w:tr w:rsidR="00261842" w:rsidRPr="00C03E15" w:rsidTr="00C03E15">
        <w:tc>
          <w:tcPr>
            <w:tcW w:w="6091" w:type="dxa"/>
          </w:tcPr>
          <w:p w:rsidR="00261842" w:rsidRPr="00C03E15" w:rsidRDefault="00261842" w:rsidP="00C03E15">
            <w:pPr>
              <w:spacing w:line="260" w:lineRule="auto"/>
              <w:rPr>
                <w:szCs w:val="24"/>
                <w:lang w:val="sr-Latn-RS"/>
              </w:rPr>
            </w:pPr>
            <w:r w:rsidRPr="00C03E15">
              <w:rPr>
                <w:szCs w:val="24"/>
                <w:lang w:val="sr-Latn-RS"/>
              </w:rPr>
              <w:t>Odeljenje za budžet dostavlja predlog budžeta skupštini lokalne vlasti</w:t>
            </w:r>
          </w:p>
        </w:tc>
        <w:tc>
          <w:tcPr>
            <w:tcW w:w="1984" w:type="dxa"/>
          </w:tcPr>
          <w:p w:rsidR="00261842" w:rsidRPr="00C03E15" w:rsidRDefault="00261842" w:rsidP="00C03E15">
            <w:pPr>
              <w:spacing w:line="260" w:lineRule="auto"/>
              <w:rPr>
                <w:szCs w:val="24"/>
                <w:lang w:val="sr-Latn-RS"/>
              </w:rPr>
            </w:pPr>
            <w:r w:rsidRPr="00C03E15">
              <w:rPr>
                <w:szCs w:val="24"/>
                <w:lang w:val="sr-Latn-RS"/>
              </w:rPr>
              <w:t xml:space="preserve">1. novembar </w:t>
            </w:r>
          </w:p>
        </w:tc>
        <w:tc>
          <w:tcPr>
            <w:tcW w:w="2126" w:type="dxa"/>
          </w:tcPr>
          <w:p w:rsidR="00261842" w:rsidRPr="00C03E15" w:rsidRDefault="00261842" w:rsidP="00C03E15">
            <w:pPr>
              <w:spacing w:line="260" w:lineRule="auto"/>
              <w:rPr>
                <w:szCs w:val="24"/>
                <w:lang w:val="sr-Latn-RS"/>
              </w:rPr>
            </w:pPr>
            <w:r w:rsidRPr="00C03E15">
              <w:rPr>
                <w:szCs w:val="24"/>
                <w:lang w:val="sr-Latn-RS"/>
              </w:rPr>
              <w:t>15. oktobar 2013.</w:t>
            </w:r>
          </w:p>
        </w:tc>
      </w:tr>
      <w:tr w:rsidR="00261842" w:rsidRPr="00C03E15" w:rsidTr="00C03E15">
        <w:tc>
          <w:tcPr>
            <w:tcW w:w="6091" w:type="dxa"/>
          </w:tcPr>
          <w:p w:rsidR="00261842" w:rsidRPr="00C03E15" w:rsidRDefault="00261842" w:rsidP="00C03E15">
            <w:pPr>
              <w:spacing w:line="260" w:lineRule="auto"/>
              <w:rPr>
                <w:szCs w:val="24"/>
                <w:lang w:val="sr-Latn-RS"/>
              </w:rPr>
            </w:pPr>
            <w:r w:rsidRPr="00C03E15">
              <w:rPr>
                <w:szCs w:val="24"/>
                <w:lang w:val="sr-Latn-RS"/>
              </w:rPr>
              <w:t>Skupština lokalne vlasti donosi odluku o budžetu lokalne vlast</w:t>
            </w:r>
          </w:p>
        </w:tc>
        <w:tc>
          <w:tcPr>
            <w:tcW w:w="1984" w:type="dxa"/>
          </w:tcPr>
          <w:p w:rsidR="00261842" w:rsidRPr="00C03E15" w:rsidRDefault="00261842" w:rsidP="00C03E15">
            <w:pPr>
              <w:spacing w:line="260" w:lineRule="auto"/>
              <w:rPr>
                <w:szCs w:val="24"/>
                <w:lang w:val="sr-Latn-RS"/>
              </w:rPr>
            </w:pPr>
            <w:r w:rsidRPr="00C03E15">
              <w:rPr>
                <w:szCs w:val="24"/>
                <w:lang w:val="sr-Latn-RS"/>
              </w:rPr>
              <w:t>20. decembar</w:t>
            </w:r>
          </w:p>
        </w:tc>
        <w:tc>
          <w:tcPr>
            <w:tcW w:w="2126" w:type="dxa"/>
          </w:tcPr>
          <w:p w:rsidR="00261842" w:rsidRPr="00C03E15" w:rsidRDefault="00261842" w:rsidP="00C03E15">
            <w:pPr>
              <w:spacing w:line="260" w:lineRule="auto"/>
              <w:rPr>
                <w:szCs w:val="24"/>
                <w:lang w:val="sr-Latn-RS"/>
              </w:rPr>
            </w:pPr>
            <w:r w:rsidRPr="00C03E15">
              <w:rPr>
                <w:szCs w:val="24"/>
                <w:lang w:val="sr-Latn-RS"/>
              </w:rPr>
              <w:t>25. decembar 2013.</w:t>
            </w:r>
          </w:p>
        </w:tc>
      </w:tr>
      <w:tr w:rsidR="00261842" w:rsidRPr="00C03E15" w:rsidTr="00C03E15">
        <w:tc>
          <w:tcPr>
            <w:tcW w:w="6091" w:type="dxa"/>
          </w:tcPr>
          <w:p w:rsidR="00261842" w:rsidRPr="00C03E15" w:rsidRDefault="00261842" w:rsidP="00C03E15">
            <w:pPr>
              <w:spacing w:line="260" w:lineRule="auto"/>
              <w:rPr>
                <w:szCs w:val="24"/>
                <w:lang w:val="sr-Latn-RS"/>
              </w:rPr>
            </w:pPr>
            <w:r w:rsidRPr="00C03E15">
              <w:rPr>
                <w:szCs w:val="24"/>
                <w:lang w:val="sr-Latn-RS"/>
              </w:rPr>
              <w:t>Lokalni organ uprave nadležan za finansije dostavlja ministru odluku o budžetu lokalne vlasti</w:t>
            </w:r>
          </w:p>
        </w:tc>
        <w:tc>
          <w:tcPr>
            <w:tcW w:w="1984" w:type="dxa"/>
          </w:tcPr>
          <w:p w:rsidR="00261842" w:rsidRPr="00C03E15" w:rsidRDefault="00261842" w:rsidP="00C03E15">
            <w:pPr>
              <w:spacing w:line="260" w:lineRule="auto"/>
              <w:rPr>
                <w:szCs w:val="24"/>
                <w:lang w:val="sr-Latn-RS"/>
              </w:rPr>
            </w:pPr>
            <w:r w:rsidRPr="00C03E15">
              <w:rPr>
                <w:szCs w:val="24"/>
                <w:lang w:val="sr-Latn-RS"/>
              </w:rPr>
              <w:t xml:space="preserve">25. decembar </w:t>
            </w:r>
          </w:p>
        </w:tc>
        <w:tc>
          <w:tcPr>
            <w:tcW w:w="2126" w:type="dxa"/>
          </w:tcPr>
          <w:p w:rsidR="00261842" w:rsidRPr="00C03E15" w:rsidRDefault="00261842" w:rsidP="00C03E15">
            <w:pPr>
              <w:spacing w:line="260" w:lineRule="auto"/>
              <w:rPr>
                <w:szCs w:val="24"/>
                <w:lang w:val="sr-Latn-RS"/>
              </w:rPr>
            </w:pPr>
            <w:r w:rsidRPr="00C03E15">
              <w:rPr>
                <w:szCs w:val="24"/>
                <w:lang w:val="sr-Latn-RS"/>
              </w:rPr>
              <w:t xml:space="preserve">25. decembar </w:t>
            </w:r>
          </w:p>
        </w:tc>
      </w:tr>
    </w:tbl>
    <w:p w:rsidR="00261842" w:rsidRPr="001E4CDF" w:rsidRDefault="00261842">
      <w:pPr>
        <w:rPr>
          <w:szCs w:val="24"/>
          <w:lang w:val="sr-Latn-RS"/>
        </w:rPr>
      </w:pPr>
    </w:p>
    <w:p w:rsidR="00261842" w:rsidRPr="001E4CDF" w:rsidRDefault="00261842" w:rsidP="00A35519">
      <w:pPr>
        <w:spacing w:line="260" w:lineRule="auto"/>
        <w:jc w:val="both"/>
        <w:rPr>
          <w:szCs w:val="24"/>
          <w:lang w:val="sr-Latn-RS"/>
        </w:rPr>
      </w:pPr>
      <w:r w:rsidRPr="001E4CDF">
        <w:rPr>
          <w:szCs w:val="24"/>
          <w:lang w:val="sr-Latn-RS"/>
        </w:rPr>
        <w:t xml:space="preserve">Zakon predviđa da budžetski korisnici imaju mesec dana za pripremu budžeta od dana kada su primili uputstvo.  Međutim, uputstvo Ministarstva finansija uglavnom kasni.  Da bi nadoknadilo kašnjenje, Odeljenje za budžet donosi svoje uputstvo u skladu sa budžetskim kalendarom na osnovu odobrenih iznosa u budžetu za prethodnu godinu, a potom dostavlja dodatne informacije kada Ministarstvo finansija donese uputstvo.  Administrativne jedinice su u praksi imale nešto više od dve nedelje za pripremu budžeta za 2014. godinu.  Ostatak </w:t>
      </w:r>
      <w:r w:rsidRPr="001E4CDF">
        <w:rPr>
          <w:szCs w:val="24"/>
          <w:lang w:val="sr-Latn-RS"/>
        </w:rPr>
        <w:lastRenderedPageBreak/>
        <w:t>raspoloživog vremena za pripremu budžeta obično koriste Gradsko veće i Odeljenje za budžet da srede predlog pre nego što ga proslede Skupštini na odlučivanje.</w:t>
      </w:r>
    </w:p>
    <w:p w:rsidR="00261842" w:rsidRPr="001E4CDF" w:rsidRDefault="00261842">
      <w:pPr>
        <w:spacing w:before="120" w:after="120" w:line="260" w:lineRule="auto"/>
        <w:rPr>
          <w:szCs w:val="24"/>
          <w:lang w:val="sr-Latn-RS"/>
        </w:rPr>
      </w:pPr>
      <w:r w:rsidRPr="001E4CDF">
        <w:rPr>
          <w:szCs w:val="24"/>
          <w:lang w:val="sr-Latn-RS"/>
        </w:rPr>
        <w:t>Ocena B</w:t>
      </w:r>
    </w:p>
    <w:p w:rsidR="00261842" w:rsidRPr="001E4CDF" w:rsidRDefault="00261842">
      <w:pPr>
        <w:spacing w:line="260" w:lineRule="auto"/>
        <w:rPr>
          <w:b/>
          <w:szCs w:val="24"/>
          <w:lang w:val="sr-Latn-RS"/>
        </w:rPr>
      </w:pPr>
      <w:r w:rsidRPr="001E4CDF">
        <w:rPr>
          <w:b/>
          <w:szCs w:val="24"/>
          <w:lang w:val="sr-Latn-RS"/>
        </w:rPr>
        <w:t xml:space="preserve"> (</w:t>
      </w:r>
      <w:proofErr w:type="spellStart"/>
      <w:r w:rsidRPr="001E4CDF">
        <w:rPr>
          <w:b/>
          <w:szCs w:val="24"/>
          <w:lang w:val="sr-Latn-RS"/>
        </w:rPr>
        <w:t>ii</w:t>
      </w:r>
      <w:proofErr w:type="spellEnd"/>
      <w:r w:rsidRPr="001E4CDF">
        <w:rPr>
          <w:b/>
          <w:szCs w:val="24"/>
          <w:lang w:val="sr-Latn-RS"/>
        </w:rPr>
        <w:t xml:space="preserve">) Jasnoća i </w:t>
      </w:r>
      <w:proofErr w:type="spellStart"/>
      <w:r w:rsidRPr="001E4CDF">
        <w:rPr>
          <w:b/>
          <w:szCs w:val="24"/>
          <w:lang w:val="sr-Latn-RS"/>
        </w:rPr>
        <w:t>sveobuhvatnost</w:t>
      </w:r>
      <w:proofErr w:type="spellEnd"/>
      <w:r w:rsidRPr="001E4CDF">
        <w:rPr>
          <w:b/>
          <w:szCs w:val="24"/>
          <w:lang w:val="sr-Latn-RS"/>
        </w:rPr>
        <w:t xml:space="preserve"> uputstva za pripremu predloga budžeta </w:t>
      </w:r>
    </w:p>
    <w:p w:rsidR="00261842" w:rsidRPr="001E4CDF" w:rsidRDefault="00261842" w:rsidP="00A35519">
      <w:pPr>
        <w:spacing w:line="260" w:lineRule="auto"/>
        <w:jc w:val="both"/>
        <w:rPr>
          <w:szCs w:val="24"/>
          <w:lang w:val="sr-Latn-RS"/>
        </w:rPr>
      </w:pPr>
      <w:r w:rsidRPr="001E4CDF">
        <w:rPr>
          <w:szCs w:val="24"/>
          <w:lang w:val="sr-Latn-RS"/>
        </w:rPr>
        <w:t>Uputstvo za pripremu budžeta ne sadrži ograničenja iako uključuje informaciju o platama za svaku organizaciju.  Tokom pripreme budžeta, postoji dogovaranje oko raspodele troškova koji nisu vezani za plate.  Međutim, u većini slučajeva se budžet priprema na osnovu procenjene realizacije u odnosu na tekuću godinu, prilagođene za inflaciju.</w:t>
      </w:r>
    </w:p>
    <w:p w:rsidR="00261842" w:rsidRPr="001E4CDF" w:rsidRDefault="00261842">
      <w:pPr>
        <w:pStyle w:val="ParagraphNumbering"/>
        <w:numPr>
          <w:ilvl w:val="0"/>
          <w:numId w:val="0"/>
        </w:numPr>
        <w:spacing w:line="240" w:lineRule="auto"/>
        <w:rPr>
          <w:lang w:val="sr-Latn-RS"/>
        </w:rPr>
      </w:pPr>
      <w:r w:rsidRPr="001E4CDF">
        <w:rPr>
          <w:lang w:val="sr-Latn-RS"/>
        </w:rPr>
        <w:t>Ocena D</w:t>
      </w:r>
    </w:p>
    <w:p w:rsidR="00261842" w:rsidRPr="001E4CDF" w:rsidRDefault="00261842">
      <w:pPr>
        <w:spacing w:line="260" w:lineRule="auto"/>
        <w:rPr>
          <w:b/>
          <w:szCs w:val="24"/>
          <w:lang w:val="sr-Latn-RS"/>
        </w:rPr>
      </w:pPr>
      <w:r w:rsidRPr="001E4CDF">
        <w:rPr>
          <w:b/>
          <w:szCs w:val="24"/>
          <w:lang w:val="sr-Latn-RS"/>
        </w:rPr>
        <w:t>(</w:t>
      </w:r>
      <w:proofErr w:type="spellStart"/>
      <w:r w:rsidRPr="001E4CDF">
        <w:rPr>
          <w:b/>
          <w:szCs w:val="24"/>
          <w:lang w:val="sr-Latn-RS"/>
        </w:rPr>
        <w:t>iii</w:t>
      </w:r>
      <w:proofErr w:type="spellEnd"/>
      <w:r w:rsidRPr="001E4CDF">
        <w:rPr>
          <w:b/>
          <w:szCs w:val="24"/>
          <w:lang w:val="sr-Latn-RS"/>
        </w:rPr>
        <w:t>) Blagovremeno usvajanje budžeta od strane zakonodavne vlasti ili sličnog tela (u poslednje tri godine)</w:t>
      </w:r>
    </w:p>
    <w:p w:rsidR="00261842" w:rsidRPr="001E4CDF" w:rsidRDefault="00261842">
      <w:pPr>
        <w:pStyle w:val="ParagraphNumbering"/>
        <w:numPr>
          <w:ilvl w:val="0"/>
          <w:numId w:val="0"/>
        </w:numPr>
        <w:rPr>
          <w:color w:val="000000"/>
          <w:lang w:val="sr-Latn-RS"/>
        </w:rPr>
      </w:pPr>
    </w:p>
    <w:p w:rsidR="00261842" w:rsidRPr="001E4CDF" w:rsidRDefault="00261842" w:rsidP="00A35519">
      <w:pPr>
        <w:pStyle w:val="ParagraphNumbering"/>
        <w:numPr>
          <w:ilvl w:val="0"/>
          <w:numId w:val="0"/>
        </w:numPr>
        <w:spacing w:line="260" w:lineRule="auto"/>
        <w:jc w:val="both"/>
        <w:rPr>
          <w:lang w:val="sr-Latn-RS"/>
        </w:rPr>
      </w:pPr>
      <w:r w:rsidRPr="001E4CDF">
        <w:rPr>
          <w:color w:val="000000"/>
          <w:lang w:val="sr-Latn-RS"/>
        </w:rPr>
        <w:t xml:space="preserve">Ova dimenzija meri da li je budžet usvojen pre početka budžetske godine.  Kašnjenje u donošenju budžeta može stvoriti nesigurnost o nivou odobrenih troškova i kašnjenje u aktivnostima. </w:t>
      </w:r>
      <w:r w:rsidRPr="001E4CDF">
        <w:rPr>
          <w:lang w:val="sr-Latn-RS"/>
        </w:rPr>
        <w:t xml:space="preserve">Procena ove dimenzije se zasniva na budžetima u poslednje tri godine, odnosno 2012, 2013 i 2014. </w:t>
      </w:r>
    </w:p>
    <w:p w:rsidR="00261842" w:rsidRPr="001E4CDF" w:rsidRDefault="00261842" w:rsidP="00A35519">
      <w:pPr>
        <w:jc w:val="both"/>
        <w:rPr>
          <w:szCs w:val="24"/>
          <w:lang w:val="sr-Latn-RS"/>
        </w:rPr>
      </w:pPr>
    </w:p>
    <w:p w:rsidR="00261842" w:rsidRPr="001E4CDF" w:rsidRDefault="00261842" w:rsidP="00A35519">
      <w:pPr>
        <w:spacing w:line="260" w:lineRule="auto"/>
        <w:jc w:val="both"/>
        <w:rPr>
          <w:szCs w:val="24"/>
          <w:lang w:val="sr-Latn-RS"/>
        </w:rPr>
      </w:pPr>
      <w:r w:rsidRPr="001E4CDF">
        <w:rPr>
          <w:szCs w:val="24"/>
          <w:lang w:val="sr-Latn-RS"/>
        </w:rPr>
        <w:t>Usvajanje budžeta u prethodne tri godine je bilo u skladu sa zakonskim odredbama, i to pre početka finansijske godine, na sledeći način: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2997"/>
      </w:tblGrid>
      <w:tr w:rsidR="00261842" w:rsidRPr="00C03E15" w:rsidTr="00C03E15">
        <w:tc>
          <w:tcPr>
            <w:tcW w:w="2996" w:type="dxa"/>
          </w:tcPr>
          <w:p w:rsidR="00261842" w:rsidRPr="00C03E15" w:rsidRDefault="00261842" w:rsidP="00C03E15">
            <w:pPr>
              <w:spacing w:line="260" w:lineRule="auto"/>
              <w:rPr>
                <w:szCs w:val="24"/>
                <w:lang w:val="sr-Latn-RS"/>
              </w:rPr>
            </w:pPr>
            <w:r w:rsidRPr="00C03E15">
              <w:rPr>
                <w:szCs w:val="24"/>
                <w:lang w:val="sr-Latn-RS"/>
              </w:rPr>
              <w:t>Budžetska godina</w:t>
            </w:r>
          </w:p>
        </w:tc>
        <w:tc>
          <w:tcPr>
            <w:tcW w:w="2997" w:type="dxa"/>
          </w:tcPr>
          <w:p w:rsidR="00261842" w:rsidRPr="00C03E15" w:rsidRDefault="00261842" w:rsidP="00C03E15">
            <w:pPr>
              <w:spacing w:line="260" w:lineRule="auto"/>
              <w:rPr>
                <w:szCs w:val="24"/>
                <w:lang w:val="sr-Latn-RS"/>
              </w:rPr>
            </w:pPr>
            <w:r w:rsidRPr="00C03E15">
              <w:rPr>
                <w:szCs w:val="24"/>
                <w:lang w:val="sr-Latn-RS"/>
              </w:rPr>
              <w:t>Datum usvajanja</w:t>
            </w:r>
          </w:p>
        </w:tc>
      </w:tr>
      <w:tr w:rsidR="00261842" w:rsidRPr="00C03E15" w:rsidTr="00C03E15">
        <w:tc>
          <w:tcPr>
            <w:tcW w:w="2996" w:type="dxa"/>
          </w:tcPr>
          <w:p w:rsidR="00261842" w:rsidRPr="00C03E15" w:rsidRDefault="00261842">
            <w:pPr>
              <w:rPr>
                <w:szCs w:val="24"/>
                <w:lang w:val="sr-Latn-RS"/>
              </w:rPr>
            </w:pPr>
            <w:r w:rsidRPr="00C03E15">
              <w:rPr>
                <w:szCs w:val="24"/>
                <w:lang w:val="sr-Latn-RS"/>
              </w:rPr>
              <w:t>2012</w:t>
            </w:r>
          </w:p>
        </w:tc>
        <w:tc>
          <w:tcPr>
            <w:tcW w:w="2997" w:type="dxa"/>
          </w:tcPr>
          <w:p w:rsidR="00261842" w:rsidRPr="00C03E15" w:rsidRDefault="00261842" w:rsidP="00C03E15">
            <w:pPr>
              <w:spacing w:line="260" w:lineRule="auto"/>
              <w:rPr>
                <w:szCs w:val="24"/>
                <w:lang w:val="sr-Latn-RS"/>
              </w:rPr>
            </w:pPr>
            <w:r w:rsidRPr="00C03E15">
              <w:rPr>
                <w:szCs w:val="24"/>
                <w:lang w:val="sr-Latn-RS"/>
              </w:rPr>
              <w:t>20. dec 2011.</w:t>
            </w:r>
          </w:p>
        </w:tc>
      </w:tr>
      <w:tr w:rsidR="00261842" w:rsidRPr="00C03E15" w:rsidTr="00C03E15">
        <w:tc>
          <w:tcPr>
            <w:tcW w:w="2996" w:type="dxa"/>
          </w:tcPr>
          <w:p w:rsidR="00261842" w:rsidRPr="00C03E15" w:rsidRDefault="00261842">
            <w:pPr>
              <w:rPr>
                <w:szCs w:val="24"/>
                <w:lang w:val="sr-Latn-RS"/>
              </w:rPr>
            </w:pPr>
            <w:r w:rsidRPr="00C03E15">
              <w:rPr>
                <w:szCs w:val="24"/>
                <w:lang w:val="sr-Latn-RS"/>
              </w:rPr>
              <w:t>2013</w:t>
            </w:r>
          </w:p>
        </w:tc>
        <w:tc>
          <w:tcPr>
            <w:tcW w:w="2997" w:type="dxa"/>
          </w:tcPr>
          <w:p w:rsidR="00261842" w:rsidRPr="00C03E15" w:rsidRDefault="00261842" w:rsidP="00C03E15">
            <w:pPr>
              <w:spacing w:line="260" w:lineRule="auto"/>
              <w:rPr>
                <w:szCs w:val="24"/>
                <w:lang w:val="sr-Latn-RS"/>
              </w:rPr>
            </w:pPr>
            <w:r w:rsidRPr="00C03E15">
              <w:rPr>
                <w:szCs w:val="24"/>
                <w:lang w:val="sr-Latn-RS"/>
              </w:rPr>
              <w:t>26. dec 2012.</w:t>
            </w:r>
          </w:p>
        </w:tc>
      </w:tr>
      <w:tr w:rsidR="00261842" w:rsidRPr="00C03E15" w:rsidTr="00C03E15">
        <w:tc>
          <w:tcPr>
            <w:tcW w:w="2996" w:type="dxa"/>
          </w:tcPr>
          <w:p w:rsidR="00261842" w:rsidRPr="00C03E15" w:rsidRDefault="00261842">
            <w:pPr>
              <w:rPr>
                <w:szCs w:val="24"/>
                <w:lang w:val="sr-Latn-RS"/>
              </w:rPr>
            </w:pPr>
            <w:r w:rsidRPr="00C03E15">
              <w:rPr>
                <w:szCs w:val="24"/>
                <w:lang w:val="sr-Latn-RS"/>
              </w:rPr>
              <w:t>2014</w:t>
            </w:r>
          </w:p>
        </w:tc>
        <w:tc>
          <w:tcPr>
            <w:tcW w:w="2997" w:type="dxa"/>
          </w:tcPr>
          <w:p w:rsidR="00261842" w:rsidRPr="00C03E15" w:rsidRDefault="00261842" w:rsidP="00C03E15">
            <w:pPr>
              <w:spacing w:line="260" w:lineRule="auto"/>
              <w:rPr>
                <w:szCs w:val="24"/>
                <w:lang w:val="sr-Latn-RS"/>
              </w:rPr>
            </w:pPr>
            <w:r w:rsidRPr="00C03E15">
              <w:rPr>
                <w:szCs w:val="24"/>
                <w:lang w:val="sr-Latn-RS"/>
              </w:rPr>
              <w:t>25. dec 2013.</w:t>
            </w:r>
          </w:p>
        </w:tc>
      </w:tr>
    </w:tbl>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Ocena A</w:t>
      </w:r>
    </w:p>
    <w:p w:rsidR="00261842" w:rsidRPr="001E4CDF" w:rsidRDefault="00261842">
      <w:pPr>
        <w:pStyle w:val="ParagraphNumbering"/>
        <w:numPr>
          <w:ilvl w:val="0"/>
          <w:numId w:val="0"/>
        </w:numPr>
        <w:rPr>
          <w:lang w:val="sr-Latn-RS"/>
        </w:rPr>
      </w:pPr>
    </w:p>
    <w:p w:rsidR="00261842" w:rsidRPr="001E4CDF" w:rsidRDefault="00261842">
      <w:pPr>
        <w:spacing w:line="240" w:lineRule="auto"/>
        <w:rPr>
          <w:b/>
          <w:szCs w:val="24"/>
          <w:lang w:val="sr-Latn-RS"/>
        </w:rPr>
      </w:pPr>
      <w:r w:rsidRPr="001E4CDF">
        <w:rPr>
          <w:szCs w:val="24"/>
          <w:lang w:val="sr-Latn-RS"/>
        </w:rPr>
        <w:br w:type="page"/>
      </w:r>
    </w:p>
    <w:p w:rsidR="00261842" w:rsidRPr="001E4CDF" w:rsidRDefault="00261842">
      <w:pPr>
        <w:spacing w:line="260" w:lineRule="auto"/>
        <w:rPr>
          <w:b/>
          <w:szCs w:val="24"/>
          <w:lang w:val="sr-Latn-RS"/>
        </w:rPr>
      </w:pPr>
      <w:r w:rsidRPr="001E4CDF">
        <w:rPr>
          <w:b/>
          <w:szCs w:val="24"/>
          <w:lang w:val="sr-Latn-RS"/>
        </w:rPr>
        <w:lastRenderedPageBreak/>
        <w:t>PU-12. Višegodišnja perspektiva za fiskalno planiranje, politiku rashoda i budžetiranje</w:t>
      </w:r>
    </w:p>
    <w:p w:rsidR="00261842" w:rsidRPr="001E4CDF" w:rsidRDefault="00261842">
      <w:pPr>
        <w:autoSpaceDE w:val="0"/>
        <w:autoSpaceDN w:val="0"/>
        <w:adjustRightInd w:val="0"/>
        <w:rPr>
          <w:szCs w:val="24"/>
          <w:lang w:val="sr-Latn-RS"/>
        </w:rPr>
      </w:pPr>
    </w:p>
    <w:tbl>
      <w:tblPr>
        <w:tblW w:w="9085" w:type="dxa"/>
        <w:tblInd w:w="95" w:type="dxa"/>
        <w:tblLayout w:type="fixed"/>
        <w:tblLook w:val="04A0" w:firstRow="1" w:lastRow="0" w:firstColumn="1" w:lastColumn="0" w:noHBand="0" w:noVBand="1"/>
      </w:tblPr>
      <w:tblGrid>
        <w:gridCol w:w="3841"/>
        <w:gridCol w:w="1276"/>
        <w:gridCol w:w="3968"/>
      </w:tblGrid>
      <w:tr w:rsidR="00261842" w:rsidRPr="00025057">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D2EFFF"/>
            <w:vAlign w:val="center"/>
          </w:tcPr>
          <w:p w:rsidR="00261842" w:rsidRPr="00C03E15" w:rsidRDefault="00261842">
            <w:pPr>
              <w:spacing w:line="240" w:lineRule="auto"/>
              <w:rPr>
                <w:b/>
                <w:sz w:val="20"/>
                <w:szCs w:val="24"/>
                <w:lang w:val="sr-Latn-RS"/>
              </w:rPr>
            </w:pPr>
          </w:p>
        </w:tc>
        <w:tc>
          <w:tcPr>
            <w:tcW w:w="5244" w:type="dxa"/>
            <w:gridSpan w:val="2"/>
            <w:tcBorders>
              <w:top w:val="single" w:sz="4" w:space="0" w:color="auto"/>
              <w:left w:val="nil"/>
              <w:bottom w:val="single" w:sz="4" w:space="0" w:color="auto"/>
              <w:right w:val="single" w:sz="4" w:space="0" w:color="auto"/>
            </w:tcBorders>
            <w:shd w:val="clear" w:color="auto" w:fill="D2EFFF"/>
            <w:vAlign w:val="center"/>
          </w:tcPr>
          <w:p w:rsidR="00261842" w:rsidRPr="00C03E15" w:rsidRDefault="00261842">
            <w:pPr>
              <w:spacing w:line="240" w:lineRule="auto"/>
              <w:jc w:val="center"/>
              <w:rPr>
                <w:szCs w:val="24"/>
                <w:lang w:val="sr-Latn-RS"/>
              </w:rPr>
            </w:pPr>
            <w:r w:rsidRPr="00C03E15">
              <w:rPr>
                <w:b/>
                <w:color w:val="000000"/>
                <w:sz w:val="20"/>
                <w:szCs w:val="24"/>
                <w:lang w:val="sr-Latn-RS"/>
              </w:rPr>
              <w:t>Minimalni uslovi (Metod za ocenjivanje M2)</w:t>
            </w:r>
          </w:p>
        </w:tc>
      </w:tr>
      <w:tr w:rsidR="00261842" w:rsidRPr="00C03E1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D2EFFF"/>
            <w:vAlign w:val="center"/>
            <w:hideMark/>
          </w:tcPr>
          <w:p w:rsidR="00261842" w:rsidRPr="00C03E15" w:rsidRDefault="00261842">
            <w:pPr>
              <w:spacing w:line="240" w:lineRule="auto"/>
              <w:rPr>
                <w:b/>
                <w:sz w:val="20"/>
                <w:szCs w:val="24"/>
                <w:lang w:val="sr-Latn-RS"/>
              </w:rPr>
            </w:pPr>
          </w:p>
        </w:tc>
        <w:tc>
          <w:tcPr>
            <w:tcW w:w="1276"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b/>
                <w:sz w:val="20"/>
                <w:szCs w:val="24"/>
                <w:lang w:val="sr-Latn-RS"/>
              </w:rPr>
            </w:pPr>
            <w:r w:rsidRPr="00C03E15">
              <w:rPr>
                <w:b/>
                <w:sz w:val="20"/>
                <w:szCs w:val="24"/>
                <w:lang w:val="sr-Latn-RS"/>
              </w:rPr>
              <w:t>2014</w:t>
            </w:r>
          </w:p>
        </w:tc>
        <w:tc>
          <w:tcPr>
            <w:tcW w:w="3968" w:type="dxa"/>
            <w:tcBorders>
              <w:top w:val="single" w:sz="4" w:space="0" w:color="auto"/>
              <w:left w:val="nil"/>
              <w:bottom w:val="single" w:sz="4" w:space="0" w:color="auto"/>
              <w:right w:val="single" w:sz="4" w:space="0" w:color="auto"/>
            </w:tcBorders>
            <w:shd w:val="clear" w:color="auto" w:fill="D2EFFF"/>
            <w:vAlign w:val="center"/>
            <w:hideMark/>
          </w:tcPr>
          <w:p w:rsidR="00261842" w:rsidRPr="00C03E15" w:rsidRDefault="00261842">
            <w:pPr>
              <w:spacing w:line="240" w:lineRule="auto"/>
              <w:jc w:val="center"/>
              <w:rPr>
                <w:szCs w:val="24"/>
                <w:lang w:val="sr-Latn-RS"/>
              </w:rPr>
            </w:pPr>
            <w:r w:rsidRPr="00C03E15">
              <w:rPr>
                <w:b/>
                <w:sz w:val="20"/>
                <w:szCs w:val="24"/>
                <w:lang w:val="sr-Latn-RS"/>
              </w:rPr>
              <w:t>Objašnjenje</w:t>
            </w:r>
          </w:p>
        </w:tc>
      </w:tr>
      <w:tr w:rsidR="00261842" w:rsidRPr="00C03E15">
        <w:trPr>
          <w:trHeight w:val="550"/>
        </w:trPr>
        <w:tc>
          <w:tcPr>
            <w:tcW w:w="3841" w:type="dxa"/>
            <w:tcBorders>
              <w:top w:val="single" w:sz="4" w:space="0" w:color="auto"/>
              <w:left w:val="single" w:sz="4" w:space="0" w:color="auto"/>
              <w:bottom w:val="single" w:sz="4" w:space="0" w:color="auto"/>
              <w:right w:val="single" w:sz="4" w:space="0" w:color="auto"/>
            </w:tcBorders>
            <w:vAlign w:val="center"/>
          </w:tcPr>
          <w:p w:rsidR="00261842" w:rsidRPr="00C03E15" w:rsidRDefault="00261842">
            <w:pPr>
              <w:spacing w:line="260" w:lineRule="auto"/>
              <w:rPr>
                <w:szCs w:val="24"/>
                <w:lang w:val="sr-Latn-RS"/>
              </w:rPr>
            </w:pPr>
            <w:r w:rsidRPr="00C03E15">
              <w:rPr>
                <w:b/>
                <w:sz w:val="20"/>
                <w:szCs w:val="24"/>
                <w:lang w:val="sr-Latn-RS"/>
              </w:rPr>
              <w:t>PU-12. Višegodišnja perspektiva za fiskalno planiranje, politiku rashoda i budžetiranje</w:t>
            </w:r>
          </w:p>
        </w:tc>
        <w:tc>
          <w:tcPr>
            <w:tcW w:w="1276"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b/>
                <w:sz w:val="20"/>
                <w:szCs w:val="24"/>
                <w:lang w:val="sr-Latn-RS"/>
              </w:rPr>
              <w:t>Ocena D+</w:t>
            </w:r>
          </w:p>
        </w:tc>
        <w:tc>
          <w:tcPr>
            <w:tcW w:w="3968" w:type="dxa"/>
            <w:tcBorders>
              <w:top w:val="single" w:sz="4" w:space="0" w:color="auto"/>
              <w:left w:val="nil"/>
              <w:bottom w:val="single" w:sz="4" w:space="0" w:color="auto"/>
              <w:right w:val="single" w:sz="4" w:space="0" w:color="auto"/>
            </w:tcBorders>
            <w:vAlign w:val="center"/>
          </w:tcPr>
          <w:p w:rsidR="00261842" w:rsidRPr="00C03E15" w:rsidRDefault="00261842">
            <w:pPr>
              <w:spacing w:line="240" w:lineRule="auto"/>
              <w:jc w:val="center"/>
              <w:rPr>
                <w:b/>
                <w:sz w:val="20"/>
                <w:szCs w:val="24"/>
                <w:lang w:val="sr-Latn-RS"/>
              </w:rPr>
            </w:pPr>
          </w:p>
        </w:tc>
      </w:tr>
      <w:tr w:rsidR="00261842" w:rsidRPr="00025057">
        <w:trPr>
          <w:trHeight w:val="300"/>
        </w:trPr>
        <w:tc>
          <w:tcPr>
            <w:tcW w:w="3841"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(i) Izrada višegodišnjih fiskalnih projekcija i funkcionalnih raspodela</w:t>
            </w:r>
          </w:p>
        </w:tc>
        <w:tc>
          <w:tcPr>
            <w:tcW w:w="1276"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sz w:val="20"/>
                <w:szCs w:val="24"/>
                <w:lang w:val="sr-Latn-RS"/>
              </w:rPr>
              <w:t>D</w:t>
            </w:r>
          </w:p>
        </w:tc>
        <w:tc>
          <w:tcPr>
            <w:tcW w:w="3968" w:type="dxa"/>
            <w:tcBorders>
              <w:top w:val="single" w:sz="4" w:space="0" w:color="auto"/>
              <w:left w:val="nil"/>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Ne izrađuju se prognoze fiskalnih agregata</w:t>
            </w:r>
          </w:p>
        </w:tc>
      </w:tr>
      <w:tr w:rsidR="00261842" w:rsidRPr="00C03E15">
        <w:trPr>
          <w:trHeight w:val="300"/>
        </w:trPr>
        <w:tc>
          <w:tcPr>
            <w:tcW w:w="3841"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xml:space="preserve">) Obim i učestalost analiza </w:t>
            </w:r>
            <w:proofErr w:type="spellStart"/>
            <w:r w:rsidRPr="00C03E15">
              <w:rPr>
                <w:sz w:val="20"/>
                <w:szCs w:val="24"/>
                <w:lang w:val="sr-Latn-RS"/>
              </w:rPr>
              <w:t>održivosti</w:t>
            </w:r>
            <w:proofErr w:type="spellEnd"/>
            <w:r w:rsidRPr="00C03E15">
              <w:rPr>
                <w:sz w:val="20"/>
                <w:szCs w:val="24"/>
                <w:lang w:val="sr-Latn-RS"/>
              </w:rPr>
              <w:t xml:space="preserve"> duga</w:t>
            </w:r>
          </w:p>
        </w:tc>
        <w:tc>
          <w:tcPr>
            <w:tcW w:w="1276"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sz w:val="20"/>
                <w:szCs w:val="24"/>
                <w:lang w:val="sr-Latn-RS"/>
              </w:rPr>
              <w:t>NP</w:t>
            </w:r>
          </w:p>
        </w:tc>
        <w:tc>
          <w:tcPr>
            <w:tcW w:w="3968" w:type="dxa"/>
            <w:tcBorders>
              <w:top w:val="single" w:sz="4" w:space="0" w:color="auto"/>
              <w:left w:val="nil"/>
              <w:bottom w:val="single" w:sz="4" w:space="0" w:color="auto"/>
              <w:right w:val="single" w:sz="4" w:space="0" w:color="auto"/>
            </w:tcBorders>
          </w:tcPr>
          <w:p w:rsidR="00261842" w:rsidRPr="00C03E15" w:rsidRDefault="00261842">
            <w:pPr>
              <w:spacing w:line="240" w:lineRule="auto"/>
              <w:rPr>
                <w:sz w:val="20"/>
                <w:szCs w:val="24"/>
                <w:lang w:val="sr-Latn-RS"/>
              </w:rPr>
            </w:pPr>
          </w:p>
        </w:tc>
      </w:tr>
      <w:tr w:rsidR="00261842" w:rsidRPr="00025057">
        <w:trPr>
          <w:trHeight w:val="300"/>
        </w:trPr>
        <w:tc>
          <w:tcPr>
            <w:tcW w:w="3841"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Postojanje sektorskih strategija sa višegodišnjom procenom tekućih rashoda i kapitalnih izdataka</w:t>
            </w:r>
          </w:p>
        </w:tc>
        <w:tc>
          <w:tcPr>
            <w:tcW w:w="1276"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sz w:val="20"/>
                <w:szCs w:val="24"/>
                <w:lang w:val="sr-Latn-RS"/>
              </w:rPr>
              <w:t>C</w:t>
            </w:r>
          </w:p>
        </w:tc>
        <w:tc>
          <w:tcPr>
            <w:tcW w:w="3968" w:type="dxa"/>
            <w:tcBorders>
              <w:top w:val="single" w:sz="4" w:space="0" w:color="auto"/>
              <w:left w:val="nil"/>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Strategije sa analizom troškova pokrivaju više sektora ali nisu u skladu sa fiskalnim prognozama na zbirnom nivou.</w:t>
            </w:r>
          </w:p>
        </w:tc>
      </w:tr>
      <w:tr w:rsidR="00261842" w:rsidRPr="00025057">
        <w:trPr>
          <w:trHeight w:val="300"/>
        </w:trPr>
        <w:tc>
          <w:tcPr>
            <w:tcW w:w="3841"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iv</w:t>
            </w:r>
            <w:proofErr w:type="spellEnd"/>
            <w:r w:rsidRPr="00C03E15">
              <w:rPr>
                <w:sz w:val="20"/>
                <w:szCs w:val="24"/>
                <w:lang w:val="sr-Latn-RS"/>
              </w:rPr>
              <w:t>) Povezanost između investicionih budžeta i procena budućih rashoda</w:t>
            </w:r>
          </w:p>
        </w:tc>
        <w:tc>
          <w:tcPr>
            <w:tcW w:w="1276" w:type="dxa"/>
            <w:tcBorders>
              <w:top w:val="single" w:sz="4" w:space="0" w:color="auto"/>
              <w:left w:val="nil"/>
              <w:bottom w:val="single" w:sz="4" w:space="0" w:color="auto"/>
              <w:right w:val="single" w:sz="4" w:space="0" w:color="auto"/>
            </w:tcBorders>
          </w:tcPr>
          <w:p w:rsidR="00261842" w:rsidRPr="00C03E15" w:rsidRDefault="00261842">
            <w:pPr>
              <w:spacing w:line="240" w:lineRule="auto"/>
              <w:jc w:val="center"/>
              <w:rPr>
                <w:szCs w:val="24"/>
                <w:lang w:val="sr-Latn-RS"/>
              </w:rPr>
            </w:pPr>
            <w:r w:rsidRPr="00C03E15">
              <w:rPr>
                <w:sz w:val="20"/>
                <w:szCs w:val="24"/>
                <w:lang w:val="sr-Latn-RS"/>
              </w:rPr>
              <w:t>D</w:t>
            </w:r>
          </w:p>
        </w:tc>
        <w:tc>
          <w:tcPr>
            <w:tcW w:w="3968" w:type="dxa"/>
            <w:tcBorders>
              <w:top w:val="single" w:sz="4" w:space="0" w:color="auto"/>
              <w:left w:val="nil"/>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Planiranje investicionih i tekućih rashoda u budžetu je nezavisan proces i ne dostavljaju se podaci o procenama tekućih troškova.</w:t>
            </w:r>
          </w:p>
        </w:tc>
      </w:tr>
    </w:tbl>
    <w:p w:rsidR="00261842" w:rsidRPr="001E4CDF" w:rsidRDefault="00261842">
      <w:pPr>
        <w:spacing w:line="240" w:lineRule="auto"/>
        <w:jc w:val="both"/>
        <w:rPr>
          <w:szCs w:val="24"/>
          <w:lang w:val="sr-Latn-RS"/>
        </w:rPr>
      </w:pPr>
    </w:p>
    <w:p w:rsidR="00261842" w:rsidRPr="001E4CDF" w:rsidRDefault="00261842">
      <w:pPr>
        <w:pStyle w:val="ParagraphNumbering"/>
        <w:numPr>
          <w:ilvl w:val="0"/>
          <w:numId w:val="0"/>
        </w:numPr>
        <w:spacing w:line="260" w:lineRule="auto"/>
        <w:rPr>
          <w:lang w:val="sr-Latn-RS"/>
        </w:rPr>
      </w:pPr>
      <w:r w:rsidRPr="001E4CDF">
        <w:rPr>
          <w:color w:val="000000"/>
          <w:lang w:val="sr-Latn-RS"/>
        </w:rPr>
        <w:t xml:space="preserve">Ovaj indikator se odnosi na to u kojoj meri Vlada planira svoj fiskalni okvir, politike potrošnje i budžetske planove na srednji rok.  </w:t>
      </w:r>
    </w:p>
    <w:p w:rsidR="00261842" w:rsidRPr="001E4CDF" w:rsidRDefault="00261842">
      <w:pPr>
        <w:autoSpaceDE w:val="0"/>
        <w:autoSpaceDN w:val="0"/>
        <w:adjustRightInd w:val="0"/>
        <w:spacing w:line="260" w:lineRule="auto"/>
        <w:rPr>
          <w:b/>
          <w:szCs w:val="24"/>
          <w:lang w:val="sr-Latn-RS"/>
        </w:rPr>
      </w:pPr>
      <w:r w:rsidRPr="001E4CDF">
        <w:rPr>
          <w:b/>
          <w:szCs w:val="24"/>
          <w:lang w:val="sr-Latn-RS"/>
        </w:rPr>
        <w:t>(i) Izrada višegodišnjih fiskalnih projekcija i funkcionalnih raspodela.</w:t>
      </w:r>
    </w:p>
    <w:p w:rsidR="00261842" w:rsidRPr="001E4CDF" w:rsidRDefault="00261842">
      <w:pPr>
        <w:autoSpaceDE w:val="0"/>
        <w:autoSpaceDN w:val="0"/>
        <w:adjustRightInd w:val="0"/>
        <w:rPr>
          <w:szCs w:val="24"/>
          <w:lang w:val="sr-Latn-RS"/>
        </w:rPr>
      </w:pPr>
    </w:p>
    <w:p w:rsidR="00261842" w:rsidRPr="001E4CDF" w:rsidRDefault="00261842">
      <w:pPr>
        <w:pStyle w:val="ParagraphNumbering"/>
        <w:numPr>
          <w:ilvl w:val="0"/>
          <w:numId w:val="0"/>
        </w:numPr>
        <w:spacing w:line="260" w:lineRule="auto"/>
        <w:rPr>
          <w:lang w:val="sr-Latn-RS"/>
        </w:rPr>
      </w:pPr>
      <w:r w:rsidRPr="001E4CDF">
        <w:rPr>
          <w:lang w:val="sr-Latn-RS"/>
        </w:rPr>
        <w:t xml:space="preserve">Budžet je pripremljen za godinu dana samo za administrativne jedinice u opštini.  </w:t>
      </w:r>
    </w:p>
    <w:p w:rsidR="00261842" w:rsidRPr="001E4CDF" w:rsidRDefault="00261842">
      <w:pPr>
        <w:pStyle w:val="ParagraphNumbering"/>
        <w:numPr>
          <w:ilvl w:val="0"/>
          <w:numId w:val="0"/>
        </w:numPr>
        <w:spacing w:line="260" w:lineRule="auto"/>
        <w:rPr>
          <w:lang w:val="sr-Latn-RS"/>
        </w:rPr>
      </w:pPr>
      <w:r w:rsidRPr="001E4CDF">
        <w:rPr>
          <w:lang w:val="sr-Latn-RS"/>
        </w:rPr>
        <w:t>Ocena D</w:t>
      </w:r>
    </w:p>
    <w:p w:rsidR="00261842" w:rsidRPr="001E4CDF" w:rsidRDefault="00261842">
      <w:pPr>
        <w:autoSpaceDE w:val="0"/>
        <w:autoSpaceDN w:val="0"/>
        <w:adjustRightInd w:val="0"/>
        <w:spacing w:line="260" w:lineRule="auto"/>
        <w:rPr>
          <w:b/>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xml:space="preserve">) Obim i učestalost analiza </w:t>
      </w:r>
      <w:proofErr w:type="spellStart"/>
      <w:r w:rsidRPr="001E4CDF">
        <w:rPr>
          <w:b/>
          <w:szCs w:val="24"/>
          <w:lang w:val="sr-Latn-RS"/>
        </w:rPr>
        <w:t>održivosti</w:t>
      </w:r>
      <w:proofErr w:type="spellEnd"/>
      <w:r w:rsidRPr="001E4CDF">
        <w:rPr>
          <w:b/>
          <w:szCs w:val="24"/>
          <w:lang w:val="sr-Latn-RS"/>
        </w:rPr>
        <w:t xml:space="preserve"> duga</w:t>
      </w:r>
    </w:p>
    <w:p w:rsidR="00261842" w:rsidRPr="001E4CDF" w:rsidRDefault="00261842">
      <w:pPr>
        <w:autoSpaceDE w:val="0"/>
        <w:autoSpaceDN w:val="0"/>
        <w:adjustRightInd w:val="0"/>
        <w:rPr>
          <w:szCs w:val="24"/>
          <w:lang w:val="sr-Latn-RS"/>
        </w:rPr>
      </w:pPr>
    </w:p>
    <w:p w:rsidR="00261842" w:rsidRPr="00A35519" w:rsidRDefault="00261842">
      <w:pPr>
        <w:autoSpaceDE w:val="0"/>
        <w:autoSpaceDN w:val="0"/>
        <w:adjustRightInd w:val="0"/>
        <w:spacing w:line="260" w:lineRule="auto"/>
        <w:rPr>
          <w:szCs w:val="24"/>
          <w:lang w:val="sr-Latn-RS"/>
        </w:rPr>
      </w:pPr>
      <w:r w:rsidRPr="00A35519">
        <w:rPr>
          <w:szCs w:val="24"/>
          <w:lang w:val="sr-Latn-RS"/>
        </w:rPr>
        <w:t xml:space="preserve">Ne postoji potreba za analizu </w:t>
      </w:r>
      <w:proofErr w:type="spellStart"/>
      <w:r w:rsidRPr="00A35519">
        <w:rPr>
          <w:szCs w:val="24"/>
          <w:lang w:val="sr-Latn-RS"/>
        </w:rPr>
        <w:t>održivosti</w:t>
      </w:r>
      <w:proofErr w:type="spellEnd"/>
      <w:r w:rsidRPr="00A35519">
        <w:rPr>
          <w:szCs w:val="24"/>
          <w:lang w:val="sr-Latn-RS"/>
        </w:rPr>
        <w:t xml:space="preserve"> duga zbog retke potrebe da se zadužuju.  Trenutno opština ima dva zajma</w:t>
      </w:r>
      <w:r w:rsidRPr="00A35519">
        <w:rPr>
          <w:rStyle w:val="FootnoteReference"/>
          <w:szCs w:val="24"/>
          <w:lang w:val="sr-Latn-RS"/>
        </w:rPr>
        <w:footnoteReference w:id="7"/>
      </w:r>
      <w:r w:rsidRPr="00A35519">
        <w:rPr>
          <w:szCs w:val="24"/>
          <w:lang w:val="sr-Latn-RS"/>
        </w:rPr>
        <w:t xml:space="preserve"> ugovorena u 2011. sa Fondom za razvoj Republike Srbije u okviru mera Vlade za stimulaciju privrede.  Ugovoren je jednogodišnji grejs period a </w:t>
      </w:r>
      <w:proofErr w:type="spellStart"/>
      <w:r w:rsidRPr="00A35519">
        <w:rPr>
          <w:szCs w:val="24"/>
          <w:lang w:val="sr-Latn-RS"/>
        </w:rPr>
        <w:t>kvartalna</w:t>
      </w:r>
      <w:proofErr w:type="spellEnd"/>
      <w:r w:rsidRPr="00A35519">
        <w:rPr>
          <w:szCs w:val="24"/>
          <w:lang w:val="sr-Latn-RS"/>
        </w:rPr>
        <w:t xml:space="preserve"> otplata je počela u 2013. godini i trajaće pet godina.  Krediti iznose 3,87% od rashoda u 2013. godini u opštini i kao takvi su neznatni. </w:t>
      </w:r>
    </w:p>
    <w:p w:rsidR="00261842" w:rsidRPr="001E4CDF" w:rsidRDefault="00261842">
      <w:pPr>
        <w:autoSpaceDE w:val="0"/>
        <w:autoSpaceDN w:val="0"/>
        <w:adjustRightInd w:val="0"/>
        <w:spacing w:line="260" w:lineRule="auto"/>
        <w:rPr>
          <w:szCs w:val="24"/>
          <w:lang w:val="sr-Latn-RS"/>
        </w:rPr>
      </w:pPr>
      <w:r w:rsidRPr="001E4CDF">
        <w:rPr>
          <w:szCs w:val="24"/>
          <w:lang w:val="sr-Latn-RS"/>
        </w:rPr>
        <w:t>Nije primenljivo</w:t>
      </w:r>
    </w:p>
    <w:p w:rsidR="00261842" w:rsidRPr="001E4CDF" w:rsidRDefault="00261842">
      <w:pPr>
        <w:autoSpaceDE w:val="0"/>
        <w:autoSpaceDN w:val="0"/>
        <w:adjustRightInd w:val="0"/>
        <w:spacing w:line="260" w:lineRule="auto"/>
        <w:rPr>
          <w:b/>
          <w:szCs w:val="24"/>
          <w:lang w:val="sr-Latn-RS"/>
        </w:rPr>
      </w:pPr>
      <w:r w:rsidRPr="001E4CDF">
        <w:rPr>
          <w:b/>
          <w:szCs w:val="24"/>
          <w:lang w:val="sr-Latn-RS"/>
        </w:rPr>
        <w:lastRenderedPageBreak/>
        <w:t>(</w:t>
      </w:r>
      <w:proofErr w:type="spellStart"/>
      <w:r w:rsidRPr="001E4CDF">
        <w:rPr>
          <w:b/>
          <w:szCs w:val="24"/>
          <w:lang w:val="sr-Latn-RS"/>
        </w:rPr>
        <w:t>iii</w:t>
      </w:r>
      <w:proofErr w:type="spellEnd"/>
      <w:r w:rsidRPr="001E4CDF">
        <w:rPr>
          <w:b/>
          <w:szCs w:val="24"/>
          <w:lang w:val="sr-Latn-RS"/>
        </w:rPr>
        <w:t>) Postojanje sektorskih strategija sa višegodišnjom procenom tekućih rashoda i kapitalnih izdataka</w:t>
      </w:r>
    </w:p>
    <w:p w:rsidR="00261842" w:rsidRPr="001E4CDF" w:rsidRDefault="00261842">
      <w:pPr>
        <w:autoSpaceDE w:val="0"/>
        <w:autoSpaceDN w:val="0"/>
        <w:adjustRightInd w:val="0"/>
        <w:rPr>
          <w:szCs w:val="24"/>
          <w:lang w:val="sr-Latn-RS"/>
        </w:rPr>
      </w:pPr>
    </w:p>
    <w:p w:rsidR="00261842" w:rsidRPr="001E4CDF" w:rsidRDefault="00261842" w:rsidP="00A35519">
      <w:pPr>
        <w:autoSpaceDE w:val="0"/>
        <w:autoSpaceDN w:val="0"/>
        <w:adjustRightInd w:val="0"/>
        <w:spacing w:line="260" w:lineRule="auto"/>
        <w:jc w:val="both"/>
        <w:rPr>
          <w:szCs w:val="24"/>
          <w:lang w:val="sr-Latn-RS"/>
        </w:rPr>
      </w:pPr>
      <w:r w:rsidRPr="001E4CDF">
        <w:rPr>
          <w:szCs w:val="24"/>
          <w:lang w:val="sr-Latn-RS"/>
        </w:rPr>
        <w:t>Razvojna strategija pokriva period od 2010 do 2020, a rađena je uz pomoć USAID-a</w:t>
      </w:r>
      <w:r w:rsidRPr="001E4CDF">
        <w:rPr>
          <w:rStyle w:val="FootnoteReference"/>
          <w:szCs w:val="24"/>
          <w:lang w:val="sr-Latn-RS"/>
        </w:rPr>
        <w:footnoteReference w:id="8"/>
      </w:r>
      <w:r w:rsidRPr="001E4CDF">
        <w:rPr>
          <w:szCs w:val="24"/>
          <w:lang w:val="sr-Latn-RS"/>
        </w:rPr>
        <w:t xml:space="preserve"> i Stalne konferencije gradova i opština Srbije.  Dokument sadrži viziju opštine sa fokusom na zaštitu životne sredine, ekonomski razvoj i razvoj zajednice.  Dokument sadrži ciljeve koji su povezani sa programima, kao i indikativne aktivnosti koje će se sprovoditi i ključne indikatore učinka.  Za ove aktivnosti su navedene projektovane vrednosti, ali ne postoji ukupni fiskalni okvir za to, iako su istaknuti potencijalni izvori finansiranja, svi potencijalni partneri, kao i indikativni raspored.  U razgovoru sa budžetskim korisnicima, utvrđeno je da je akcioni plan korišćen samo za planiranje infrastrukture.</w:t>
      </w:r>
    </w:p>
    <w:p w:rsidR="00261842" w:rsidRPr="001E4CDF" w:rsidRDefault="00261842">
      <w:pPr>
        <w:autoSpaceDE w:val="0"/>
        <w:autoSpaceDN w:val="0"/>
        <w:adjustRightInd w:val="0"/>
        <w:spacing w:line="260" w:lineRule="auto"/>
        <w:rPr>
          <w:szCs w:val="24"/>
          <w:lang w:val="sr-Latn-RS"/>
        </w:rPr>
      </w:pPr>
      <w:r w:rsidRPr="001E4CDF">
        <w:rPr>
          <w:szCs w:val="24"/>
          <w:lang w:val="sr-Latn-RS"/>
        </w:rPr>
        <w:t>Ocena C</w:t>
      </w:r>
    </w:p>
    <w:p w:rsidR="00261842" w:rsidRPr="001E4CDF" w:rsidRDefault="00261842">
      <w:pPr>
        <w:autoSpaceDE w:val="0"/>
        <w:autoSpaceDN w:val="0"/>
        <w:adjustRightInd w:val="0"/>
        <w:rPr>
          <w:szCs w:val="24"/>
          <w:lang w:val="sr-Latn-RS"/>
        </w:rPr>
      </w:pPr>
    </w:p>
    <w:p w:rsidR="00261842" w:rsidRPr="001E4CDF" w:rsidRDefault="00261842">
      <w:pPr>
        <w:pStyle w:val="ParagraphNumbering"/>
        <w:numPr>
          <w:ilvl w:val="0"/>
          <w:numId w:val="0"/>
        </w:numPr>
        <w:spacing w:line="260" w:lineRule="auto"/>
        <w:rPr>
          <w:b/>
          <w:lang w:val="sr-Latn-RS"/>
        </w:rPr>
      </w:pPr>
      <w:r w:rsidRPr="001E4CDF">
        <w:rPr>
          <w:b/>
          <w:lang w:val="sr-Latn-RS"/>
        </w:rPr>
        <w:t>(</w:t>
      </w:r>
      <w:proofErr w:type="spellStart"/>
      <w:r w:rsidRPr="001E4CDF">
        <w:rPr>
          <w:b/>
          <w:lang w:val="sr-Latn-RS"/>
        </w:rPr>
        <w:t>iv</w:t>
      </w:r>
      <w:proofErr w:type="spellEnd"/>
      <w:r w:rsidRPr="001E4CDF">
        <w:rPr>
          <w:b/>
          <w:lang w:val="sr-Latn-RS"/>
        </w:rPr>
        <w:t>) Povezanost između investicionih budžeta i procena budućih rashoda</w:t>
      </w:r>
    </w:p>
    <w:p w:rsidR="00261842" w:rsidRPr="00A35519" w:rsidRDefault="00261842" w:rsidP="00A35519">
      <w:pPr>
        <w:autoSpaceDE w:val="0"/>
        <w:autoSpaceDN w:val="0"/>
        <w:adjustRightInd w:val="0"/>
        <w:spacing w:line="260" w:lineRule="auto"/>
        <w:jc w:val="both"/>
        <w:rPr>
          <w:szCs w:val="24"/>
          <w:lang w:val="sr-Latn-RS"/>
        </w:rPr>
      </w:pPr>
      <w:r w:rsidRPr="00A35519">
        <w:rPr>
          <w:szCs w:val="24"/>
          <w:lang w:val="sr-Latn-RS"/>
        </w:rPr>
        <w:t>Godišnji budžet obuhvata projekte i njihove finansijske zahteve za naredne dve godine.  Nema razmatranja povećanja tekućih troškova nakon završetka projekta, jer je budžet predstavljen samo za godinu dana.  Ako se projekat završi u toku godine, budžet obuhvata relevantne operativne troškove.</w:t>
      </w:r>
    </w:p>
    <w:p w:rsidR="00261842" w:rsidRDefault="00261842">
      <w:pPr>
        <w:pStyle w:val="ParagraphNumbering"/>
        <w:numPr>
          <w:ilvl w:val="0"/>
          <w:numId w:val="0"/>
        </w:numPr>
        <w:spacing w:line="260" w:lineRule="auto"/>
        <w:rPr>
          <w:color w:val="000000"/>
          <w:lang w:val="sr-Latn-RS"/>
        </w:rPr>
      </w:pPr>
      <w:r w:rsidRPr="001E4CDF">
        <w:rPr>
          <w:color w:val="000000"/>
          <w:lang w:val="sr-Latn-RS"/>
        </w:rPr>
        <w:t>Ocena D</w:t>
      </w:r>
    </w:p>
    <w:p w:rsidR="00A35519" w:rsidRDefault="00A35519">
      <w:pPr>
        <w:pStyle w:val="ParagraphNumbering"/>
        <w:numPr>
          <w:ilvl w:val="0"/>
          <w:numId w:val="0"/>
        </w:numPr>
        <w:spacing w:line="260" w:lineRule="auto"/>
        <w:rPr>
          <w:color w:val="000000"/>
          <w:lang w:val="sr-Latn-RS"/>
        </w:rPr>
      </w:pPr>
    </w:p>
    <w:p w:rsidR="00A35519" w:rsidRDefault="00A35519">
      <w:pPr>
        <w:pStyle w:val="ParagraphNumbering"/>
        <w:numPr>
          <w:ilvl w:val="0"/>
          <w:numId w:val="0"/>
        </w:numPr>
        <w:spacing w:line="260" w:lineRule="auto"/>
        <w:rPr>
          <w:color w:val="000000"/>
          <w:lang w:val="sr-Latn-RS"/>
        </w:rPr>
      </w:pPr>
    </w:p>
    <w:p w:rsidR="00A35519" w:rsidRDefault="00A35519">
      <w:pPr>
        <w:pStyle w:val="ParagraphNumbering"/>
        <w:numPr>
          <w:ilvl w:val="0"/>
          <w:numId w:val="0"/>
        </w:numPr>
        <w:spacing w:line="260" w:lineRule="auto"/>
        <w:rPr>
          <w:color w:val="000000"/>
          <w:lang w:val="sr-Latn-RS"/>
        </w:rPr>
      </w:pPr>
    </w:p>
    <w:p w:rsidR="00A35519" w:rsidRDefault="00A35519">
      <w:pPr>
        <w:pStyle w:val="ParagraphNumbering"/>
        <w:numPr>
          <w:ilvl w:val="0"/>
          <w:numId w:val="0"/>
        </w:numPr>
        <w:spacing w:line="260" w:lineRule="auto"/>
        <w:rPr>
          <w:color w:val="000000"/>
          <w:lang w:val="sr-Latn-RS"/>
        </w:rPr>
      </w:pPr>
    </w:p>
    <w:p w:rsidR="00A35519" w:rsidRPr="001E4CDF" w:rsidRDefault="00A35519">
      <w:pPr>
        <w:pStyle w:val="ParagraphNumbering"/>
        <w:numPr>
          <w:ilvl w:val="0"/>
          <w:numId w:val="0"/>
        </w:numPr>
        <w:spacing w:line="260" w:lineRule="auto"/>
        <w:rPr>
          <w:color w:val="000000"/>
          <w:lang w:val="sr-Latn-RS"/>
        </w:rPr>
      </w:pPr>
    </w:p>
    <w:p w:rsidR="00261842" w:rsidRPr="00A35519" w:rsidRDefault="00261842">
      <w:pPr>
        <w:pStyle w:val="Heading2"/>
        <w:spacing w:line="260" w:lineRule="auto"/>
        <w:rPr>
          <w:rFonts w:cs="Times New Roman"/>
          <w:bCs w:val="0"/>
          <w:iCs w:val="0"/>
          <w:szCs w:val="24"/>
          <w:lang w:val="sr-Latn-RS"/>
        </w:rPr>
      </w:pPr>
      <w:bookmarkStart w:id="14" w:name="_Toc421138248"/>
      <w:proofErr w:type="spellStart"/>
      <w:r w:rsidRPr="00A35519">
        <w:rPr>
          <w:rFonts w:cs="Times New Roman"/>
          <w:bCs w:val="0"/>
          <w:iCs w:val="0"/>
          <w:szCs w:val="24"/>
          <w:lang w:val="sr-Latn-RS"/>
        </w:rPr>
        <w:lastRenderedPageBreak/>
        <w:t>Predvidivost</w:t>
      </w:r>
      <w:proofErr w:type="spellEnd"/>
      <w:r w:rsidRPr="00A35519">
        <w:rPr>
          <w:rFonts w:cs="Times New Roman"/>
          <w:bCs w:val="0"/>
          <w:iCs w:val="0"/>
          <w:szCs w:val="24"/>
          <w:lang w:val="sr-Latn-RS"/>
        </w:rPr>
        <w:t xml:space="preserve"> i kontrola izvršenja budžeta</w:t>
      </w:r>
      <w:bookmarkEnd w:id="14"/>
    </w:p>
    <w:p w:rsidR="00261842" w:rsidRPr="001E4CDF" w:rsidRDefault="00261842">
      <w:pPr>
        <w:spacing w:line="260" w:lineRule="auto"/>
        <w:rPr>
          <w:szCs w:val="24"/>
          <w:lang w:val="sr-Latn-RS"/>
        </w:rPr>
      </w:pPr>
      <w:r w:rsidRPr="001E4CDF">
        <w:rPr>
          <w:b/>
          <w:szCs w:val="24"/>
          <w:lang w:val="sr-Latn-RS"/>
        </w:rPr>
        <w:t xml:space="preserve">PU-13 Transparentnost obaveza i odgovornosti poreskih obveznika </w:t>
      </w:r>
    </w:p>
    <w:p w:rsidR="00261842" w:rsidRPr="001E4CDF" w:rsidRDefault="00261842">
      <w:pPr>
        <w:rPr>
          <w:szCs w:val="24"/>
          <w:lang w:val="sr-Latn-RS"/>
        </w:rPr>
      </w:pPr>
    </w:p>
    <w:tbl>
      <w:tblPr>
        <w:tblW w:w="8931" w:type="dxa"/>
        <w:tblInd w:w="108" w:type="dxa"/>
        <w:tblLayout w:type="fixed"/>
        <w:tblLook w:val="0000" w:firstRow="0" w:lastRow="0" w:firstColumn="0" w:lastColumn="0" w:noHBand="0" w:noVBand="0"/>
      </w:tblPr>
      <w:tblGrid>
        <w:gridCol w:w="2977"/>
        <w:gridCol w:w="992"/>
        <w:gridCol w:w="4962"/>
      </w:tblGrid>
      <w:tr w:rsidR="00261842" w:rsidRPr="00025057">
        <w:trPr>
          <w:trHeight w:val="293"/>
        </w:trPr>
        <w:tc>
          <w:tcPr>
            <w:tcW w:w="2977"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5954" w:type="dxa"/>
            <w:gridSpan w:val="2"/>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M2)</w:t>
            </w:r>
          </w:p>
        </w:tc>
      </w:tr>
      <w:tr w:rsidR="00261842" w:rsidRPr="00C03E15">
        <w:trPr>
          <w:trHeight w:val="252"/>
        </w:trPr>
        <w:tc>
          <w:tcPr>
            <w:tcW w:w="2977"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992"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color w:val="000000"/>
                <w:sz w:val="20"/>
                <w:szCs w:val="24"/>
                <w:lang w:val="sr-Latn-RS"/>
              </w:rPr>
            </w:pPr>
            <w:r w:rsidRPr="00C03E15">
              <w:rPr>
                <w:color w:val="000000"/>
                <w:sz w:val="20"/>
                <w:szCs w:val="24"/>
                <w:lang w:val="sr-Latn-RS"/>
              </w:rPr>
              <w:t>2014</w:t>
            </w:r>
          </w:p>
        </w:tc>
        <w:tc>
          <w:tcPr>
            <w:tcW w:w="4962"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Objašnjenje</w:t>
            </w:r>
          </w:p>
        </w:tc>
      </w:tr>
      <w:tr w:rsidR="00261842" w:rsidRPr="001E4CDF">
        <w:trPr>
          <w:trHeight w:val="252"/>
        </w:trPr>
        <w:tc>
          <w:tcPr>
            <w:tcW w:w="2977" w:type="dxa"/>
            <w:tcBorders>
              <w:top w:val="single" w:sz="8" w:space="0" w:color="000000"/>
              <w:lef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b/>
                <w:color w:val="000000"/>
                <w:sz w:val="20"/>
                <w:szCs w:val="24"/>
                <w:lang w:val="sr-Latn-RS"/>
              </w:rPr>
              <w:t>PU-13 Transparentnost obaveza i odgovornosti poreskih obveznika</w:t>
            </w: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b/>
                <w:color w:val="000000"/>
                <w:sz w:val="20"/>
                <w:szCs w:val="24"/>
                <w:lang w:val="sr-Latn-RS"/>
              </w:rPr>
              <w:t>Ocena B</w:t>
            </w:r>
          </w:p>
        </w:tc>
        <w:tc>
          <w:tcPr>
            <w:tcW w:w="4962" w:type="dxa"/>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r>
      <w:tr w:rsidR="00261842" w:rsidRPr="00025057">
        <w:trPr>
          <w:trHeight w:val="252"/>
        </w:trPr>
        <w:tc>
          <w:tcPr>
            <w:tcW w:w="2977" w:type="dxa"/>
            <w:tcBorders>
              <w:top w:val="single" w:sz="8" w:space="0" w:color="000000"/>
              <w:lef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 xml:space="preserve">(i) Jasnoća i </w:t>
            </w:r>
            <w:proofErr w:type="spellStart"/>
            <w:r w:rsidRPr="00C03E15">
              <w:rPr>
                <w:sz w:val="20"/>
                <w:szCs w:val="24"/>
                <w:lang w:val="sr-Latn-RS"/>
              </w:rPr>
              <w:t>sveobuhvatnost</w:t>
            </w:r>
            <w:proofErr w:type="spellEnd"/>
            <w:r w:rsidRPr="00C03E15">
              <w:rPr>
                <w:sz w:val="20"/>
                <w:szCs w:val="24"/>
                <w:lang w:val="sr-Latn-RS"/>
              </w:rPr>
              <w:t xml:space="preserve"> poreskih obaveza</w:t>
            </w: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A</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Zakoni i procedure koji se odnose na sve važnije poreze su sveobuhvatni i jasni, a diskrecione moći uključenih vladinih organa su strogo ograničene.</w:t>
            </w:r>
          </w:p>
        </w:tc>
      </w:tr>
      <w:tr w:rsidR="00261842" w:rsidRPr="00025057">
        <w:trPr>
          <w:trHeight w:val="252"/>
        </w:trPr>
        <w:tc>
          <w:tcPr>
            <w:tcW w:w="2977" w:type="dxa"/>
            <w:tcBorders>
              <w:top w:val="single" w:sz="8" w:space="0" w:color="000000"/>
              <w:left w:val="single" w:sz="8" w:space="0" w:color="000000"/>
              <w:bottom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Dostupnost informacija o poreskim obavezama i administrativnim procedurama za poreske obveznike</w:t>
            </w: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B</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Poreskim obveznicima je omogućen jednostavan pristup sveobuhvatnim i ažurnim informacijama o poreskim obavezama i administrativnim procedurama prilagođenim potrebama korisnika za neke od najvažnijih poreza, dok su informacije o drugim porezima ograničene.</w:t>
            </w:r>
          </w:p>
        </w:tc>
      </w:tr>
      <w:tr w:rsidR="00261842" w:rsidRPr="00025057">
        <w:trPr>
          <w:trHeight w:val="252"/>
        </w:trPr>
        <w:tc>
          <w:tcPr>
            <w:tcW w:w="2977" w:type="dxa"/>
            <w:tcBorders>
              <w:top w:val="single" w:sz="8" w:space="0" w:color="000000"/>
              <w:left w:val="single" w:sz="8" w:space="0" w:color="000000"/>
              <w:bottom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Postojanje i funkcionisanje mehanizama za podnošenje i rešavanja žalbe u vezi sa porezom</w:t>
            </w: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C</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Sistem žalbi protiv odluka o poreskim obavezama koji se zasniva na administrativnim procedurama je uspostavljen, ali ga je potrebno u značajnoj meri </w:t>
            </w:r>
            <w:proofErr w:type="spellStart"/>
            <w:r w:rsidRPr="00C03E15">
              <w:rPr>
                <w:color w:val="000000"/>
                <w:sz w:val="20"/>
                <w:szCs w:val="24"/>
                <w:lang w:val="sr-Latn-RS"/>
              </w:rPr>
              <w:t>redizajnirati</w:t>
            </w:r>
            <w:proofErr w:type="spellEnd"/>
            <w:r w:rsidRPr="00C03E15">
              <w:rPr>
                <w:color w:val="000000"/>
                <w:sz w:val="20"/>
                <w:szCs w:val="24"/>
                <w:lang w:val="sr-Latn-RS"/>
              </w:rPr>
              <w:t xml:space="preserve"> da bi bio pravičan, transparentan i efikasan.</w:t>
            </w:r>
          </w:p>
        </w:tc>
      </w:tr>
    </w:tbl>
    <w:p w:rsidR="00261842" w:rsidRPr="001E4CDF" w:rsidRDefault="00261842">
      <w:pPr>
        <w:pStyle w:val="ParagraphNumbering"/>
        <w:numPr>
          <w:ilvl w:val="0"/>
          <w:numId w:val="0"/>
        </w:numPr>
        <w:rPr>
          <w:lang w:val="sr-Latn-RS"/>
        </w:rPr>
      </w:pPr>
    </w:p>
    <w:p w:rsidR="00261842" w:rsidRPr="001E4CDF" w:rsidRDefault="00261842" w:rsidP="00A35519">
      <w:pPr>
        <w:pStyle w:val="ParagraphNumbering"/>
        <w:numPr>
          <w:ilvl w:val="0"/>
          <w:numId w:val="0"/>
        </w:numPr>
        <w:spacing w:line="260" w:lineRule="auto"/>
        <w:jc w:val="both"/>
        <w:rPr>
          <w:lang w:val="sr-Latn-RS"/>
        </w:rPr>
      </w:pPr>
      <w:r w:rsidRPr="001E4CDF">
        <w:rPr>
          <w:lang w:val="sr-Latn-RS"/>
        </w:rPr>
        <w:t>Ovaj pokazatelj procenjuje da li ukupno kontrolno okruženje u sistemu uprave prihoda i direktno učešće i saradnja poreskih obveznika od pojedinca do korporativnog privatnog sektora omogućavaju efikasnu procenu poreske obaveze. Kvalitet takve kontrole je veoma povezan sa stepenom transparentnosti poreskih obaveza, uključujući i jasnoću propisa i administrativnih procedura, pristup odgovarajućim informacijama, kao i mogućnost žalbe na upravne odluke o poreskim obavezama.</w:t>
      </w:r>
    </w:p>
    <w:p w:rsidR="00261842" w:rsidRPr="001E4CDF" w:rsidRDefault="00261842">
      <w:pPr>
        <w:tabs>
          <w:tab w:val="num" w:pos="720"/>
          <w:tab w:val="num" w:pos="1146"/>
        </w:tabs>
        <w:spacing w:before="240" w:after="240" w:line="260" w:lineRule="auto"/>
        <w:jc w:val="both"/>
        <w:rPr>
          <w:b/>
          <w:szCs w:val="24"/>
          <w:lang w:val="sr-Latn-RS"/>
        </w:rPr>
      </w:pPr>
      <w:r w:rsidRPr="001E4CDF">
        <w:rPr>
          <w:b/>
          <w:szCs w:val="24"/>
          <w:lang w:val="sr-Latn-RS"/>
        </w:rPr>
        <w:t xml:space="preserve"> (i) Jasnoća i </w:t>
      </w:r>
      <w:proofErr w:type="spellStart"/>
      <w:r w:rsidRPr="001E4CDF">
        <w:rPr>
          <w:b/>
          <w:szCs w:val="24"/>
          <w:lang w:val="sr-Latn-RS"/>
        </w:rPr>
        <w:t>sveobuhvatnost</w:t>
      </w:r>
      <w:proofErr w:type="spellEnd"/>
      <w:r w:rsidRPr="001E4CDF">
        <w:rPr>
          <w:b/>
          <w:szCs w:val="24"/>
          <w:lang w:val="sr-Latn-RS"/>
        </w:rPr>
        <w:t xml:space="preserve"> poreskih obaveza </w:t>
      </w:r>
    </w:p>
    <w:p w:rsidR="00261842" w:rsidRPr="001E4CDF" w:rsidRDefault="00261842">
      <w:pPr>
        <w:pStyle w:val="ParagraphNumbering"/>
        <w:numPr>
          <w:ilvl w:val="0"/>
          <w:numId w:val="31"/>
        </w:numPr>
        <w:spacing w:after="0" w:line="260" w:lineRule="auto"/>
        <w:jc w:val="both"/>
        <w:rPr>
          <w:lang w:val="sr-Latn-RS"/>
        </w:rPr>
      </w:pPr>
      <w:r w:rsidRPr="001E4CDF">
        <w:rPr>
          <w:lang w:val="sr-Latn-RS"/>
        </w:rPr>
        <w:t xml:space="preserve">Opštinski porezi su na imovinu i zemljište.  Novi sistem poreza na imovinu je uveden Zakonom o porezima na imovinu 2013, s početkom primene od 2014. („Službeni glasnik RS“, br. 26/2001, „Službeni glasnik RS“, br. 42/2002 - odluka SUS i „Službeni glasnik RS“, br. 80/2002, 80/2002, 135/2004, 61/2007, 5/2009, 101/2010, 24/2011, 78/2011, 57/2012 - odluka US, 47/2013 i 68/2014).  Vlasnik imovine je odgovoran za plaćanje poreza, osim kada je ugovor o zakupu višegodišnji, u kom slučaju je zakupac odgovoran za plaćanje.  Obaveza plaćanja poreza na imovinu se procenjuje u odnosu više faktora – lokacija u odnosu na jednu od 3 zone, vrsta imovine i njena veličina (korisna površina u kvadratnim metrima) i prosečne tržišne cene za tu vrstu imovine (koja je dobijena na osnovu informacija o prodaji).  Ovi faktori određuju poresku osnovicu a opština </w:t>
      </w:r>
      <w:proofErr w:type="spellStart"/>
      <w:r w:rsidRPr="001E4CDF">
        <w:rPr>
          <w:lang w:val="sr-Latn-RS"/>
        </w:rPr>
        <w:t>Osečina</w:t>
      </w:r>
      <w:proofErr w:type="spellEnd"/>
      <w:r w:rsidRPr="001E4CDF">
        <w:rPr>
          <w:lang w:val="sr-Latn-RS"/>
        </w:rPr>
        <w:t xml:space="preserve"> primenjuje najvišu stopu od </w:t>
      </w:r>
      <w:r w:rsidRPr="001E4CDF">
        <w:rPr>
          <w:lang w:val="sr-Latn-RS"/>
        </w:rPr>
        <w:lastRenderedPageBreak/>
        <w:t>0.40%. U skladu sa Odlukom utvrđivanju stope poreza na imovinu (odluka Skupštine 060-56/2013 od 26.11.2013) stope poreza na imovinu su sledeće:</w:t>
      </w:r>
    </w:p>
    <w:p w:rsidR="00261842" w:rsidRPr="001E4CDF" w:rsidRDefault="00261842">
      <w:pPr>
        <w:pStyle w:val="ParagraphNumbering"/>
        <w:numPr>
          <w:ilvl w:val="0"/>
          <w:numId w:val="0"/>
        </w:numPr>
        <w:spacing w:after="0" w:line="260" w:lineRule="auto"/>
        <w:ind w:left="1440"/>
        <w:jc w:val="both"/>
        <w:rPr>
          <w:lang w:val="sr-Latn-RS"/>
        </w:rPr>
      </w:pPr>
      <w:r w:rsidRPr="001E4CDF">
        <w:rPr>
          <w:lang w:val="sr-Latn-RS"/>
        </w:rPr>
        <w:t>1) Na nepokretnosti poreskog obveznika koji vodi poslovne knjige (u skladu sa računovodstvenim standardima koji vrednuju imovinu): 0.4%</w:t>
      </w:r>
    </w:p>
    <w:p w:rsidR="00261842" w:rsidRPr="001E4CDF" w:rsidRDefault="00261842">
      <w:pPr>
        <w:pStyle w:val="ParagraphNumbering"/>
        <w:numPr>
          <w:ilvl w:val="0"/>
          <w:numId w:val="0"/>
        </w:numPr>
        <w:spacing w:after="0" w:line="260" w:lineRule="auto"/>
        <w:ind w:left="1440"/>
        <w:jc w:val="both"/>
        <w:rPr>
          <w:lang w:val="sr-Latn-RS"/>
        </w:rPr>
      </w:pPr>
      <w:r w:rsidRPr="001E4CDF">
        <w:rPr>
          <w:lang w:val="sr-Latn-RS"/>
        </w:rPr>
        <w:t>2) Na imovinu poreskog obveznika koji ne vodi poslovne knjige: 0.3%</w:t>
      </w:r>
    </w:p>
    <w:p w:rsidR="00261842" w:rsidRPr="001E4CDF" w:rsidRDefault="00261842">
      <w:pPr>
        <w:pStyle w:val="ParagraphNumbering"/>
        <w:numPr>
          <w:ilvl w:val="0"/>
          <w:numId w:val="0"/>
        </w:numPr>
        <w:spacing w:after="0" w:line="260" w:lineRule="auto"/>
        <w:ind w:left="1440"/>
        <w:jc w:val="both"/>
        <w:rPr>
          <w:lang w:val="sr-Latn-RS"/>
        </w:rPr>
      </w:pPr>
      <w:r w:rsidRPr="001E4CDF">
        <w:rPr>
          <w:lang w:val="sr-Latn-RS"/>
        </w:rPr>
        <w:t>3) Na nepokretnosti poreskog obveznika koji ne vodi poslovne knjige, izuzev zemljišta:</w:t>
      </w:r>
    </w:p>
    <w:p w:rsidR="00261842" w:rsidRPr="001E4CDF" w:rsidRDefault="00261842">
      <w:pPr>
        <w:pStyle w:val="ParagraphNumbering"/>
        <w:numPr>
          <w:ilvl w:val="2"/>
          <w:numId w:val="31"/>
        </w:numPr>
        <w:spacing w:after="0" w:line="260" w:lineRule="auto"/>
        <w:jc w:val="both"/>
        <w:rPr>
          <w:lang w:val="sr-Latn-RS"/>
        </w:rPr>
      </w:pPr>
      <w:r w:rsidRPr="001E4CDF">
        <w:rPr>
          <w:lang w:val="sr-Latn-RS"/>
        </w:rPr>
        <w:t>Ispod RSD 10 miliona: 0.4%</w:t>
      </w:r>
    </w:p>
    <w:p w:rsidR="00261842" w:rsidRPr="001E4CDF" w:rsidRDefault="00261842">
      <w:pPr>
        <w:pStyle w:val="ParagraphNumbering"/>
        <w:numPr>
          <w:ilvl w:val="2"/>
          <w:numId w:val="31"/>
        </w:numPr>
        <w:spacing w:after="0" w:line="260" w:lineRule="auto"/>
        <w:jc w:val="both"/>
        <w:rPr>
          <w:lang w:val="sr-Latn-RS"/>
        </w:rPr>
      </w:pPr>
      <w:r w:rsidRPr="001E4CDF">
        <w:rPr>
          <w:lang w:val="sr-Latn-RS"/>
        </w:rPr>
        <w:t xml:space="preserve">između RSD 10 i 25 miliona 0,4% + 0,60% na iznos koji </w:t>
      </w:r>
      <w:proofErr w:type="spellStart"/>
      <w:r w:rsidRPr="001E4CDF">
        <w:rPr>
          <w:lang w:val="sr-Latn-RS"/>
        </w:rPr>
        <w:t>premašuje</w:t>
      </w:r>
      <w:proofErr w:type="spellEnd"/>
      <w:r w:rsidRPr="001E4CDF">
        <w:rPr>
          <w:lang w:val="sr-Latn-RS"/>
        </w:rPr>
        <w:t xml:space="preserve"> 10 miliona,</w:t>
      </w:r>
    </w:p>
    <w:p w:rsidR="00261842" w:rsidRPr="001E4CDF" w:rsidRDefault="00261842">
      <w:pPr>
        <w:pStyle w:val="ParagraphNumbering"/>
        <w:numPr>
          <w:ilvl w:val="2"/>
          <w:numId w:val="31"/>
        </w:numPr>
        <w:spacing w:after="0" w:line="260" w:lineRule="auto"/>
        <w:jc w:val="both"/>
        <w:rPr>
          <w:lang w:val="sr-Latn-RS"/>
        </w:rPr>
      </w:pPr>
      <w:r w:rsidRPr="001E4CDF">
        <w:rPr>
          <w:lang w:val="sr-Latn-RS"/>
        </w:rPr>
        <w:t xml:space="preserve">između 25 miliona i 50 miliona 0,225% + 1% na iznos koji </w:t>
      </w:r>
      <w:proofErr w:type="spellStart"/>
      <w:r w:rsidRPr="001E4CDF">
        <w:rPr>
          <w:lang w:val="sr-Latn-RS"/>
        </w:rPr>
        <w:t>premašuje</w:t>
      </w:r>
      <w:proofErr w:type="spellEnd"/>
      <w:r w:rsidRPr="001E4CDF">
        <w:rPr>
          <w:lang w:val="sr-Latn-RS"/>
        </w:rPr>
        <w:t xml:space="preserve"> 25 miliona</w:t>
      </w:r>
    </w:p>
    <w:p w:rsidR="00261842" w:rsidRPr="001E4CDF" w:rsidRDefault="00261842">
      <w:pPr>
        <w:pStyle w:val="ParagraphNumbering"/>
        <w:numPr>
          <w:ilvl w:val="2"/>
          <w:numId w:val="31"/>
        </w:numPr>
        <w:spacing w:after="0" w:line="260" w:lineRule="auto"/>
        <w:jc w:val="both"/>
        <w:rPr>
          <w:lang w:val="sr-Latn-RS"/>
        </w:rPr>
      </w:pPr>
      <w:r w:rsidRPr="001E4CDF">
        <w:rPr>
          <w:lang w:val="sr-Latn-RS"/>
        </w:rPr>
        <w:t xml:space="preserve">iznad RSD 50 miliona 0,225% + 2% na iznos koji </w:t>
      </w:r>
      <w:proofErr w:type="spellStart"/>
      <w:r w:rsidRPr="001E4CDF">
        <w:rPr>
          <w:lang w:val="sr-Latn-RS"/>
        </w:rPr>
        <w:t>premašuje</w:t>
      </w:r>
      <w:proofErr w:type="spellEnd"/>
      <w:r w:rsidRPr="001E4CDF">
        <w:rPr>
          <w:lang w:val="sr-Latn-RS"/>
        </w:rPr>
        <w:t xml:space="preserve"> 50 miliona.</w:t>
      </w:r>
    </w:p>
    <w:p w:rsidR="00261842" w:rsidRPr="001E4CDF" w:rsidRDefault="00261842">
      <w:pPr>
        <w:pStyle w:val="ParagraphNumbering"/>
        <w:numPr>
          <w:ilvl w:val="0"/>
          <w:numId w:val="0"/>
        </w:numPr>
        <w:spacing w:before="360" w:line="260" w:lineRule="auto"/>
        <w:jc w:val="both"/>
        <w:rPr>
          <w:lang w:val="sr-Latn-RS"/>
        </w:rPr>
      </w:pPr>
      <w:r w:rsidRPr="001E4CDF">
        <w:rPr>
          <w:lang w:val="sr-Latn-RS"/>
        </w:rPr>
        <w:t xml:space="preserve">Dva faktora mogu uticati na smanjenje iznosa poreza. Procena iznosa poreza na imovinu se smanjuje za 1 odsto za svaku godinu starosti do ukupno 40 odsto, a vlasnici koji imaju prebivalište na toj nepokretnosti mogu dobiti smanjenje od 50 odsto procene.  </w:t>
      </w:r>
    </w:p>
    <w:p w:rsidR="00261842" w:rsidRPr="001E4CDF" w:rsidRDefault="00261842">
      <w:pPr>
        <w:pStyle w:val="ParagraphNumbering"/>
        <w:numPr>
          <w:ilvl w:val="0"/>
          <w:numId w:val="0"/>
        </w:numPr>
        <w:spacing w:line="260" w:lineRule="auto"/>
        <w:jc w:val="both"/>
        <w:rPr>
          <w:lang w:val="sr-Latn-RS"/>
        </w:rPr>
      </w:pPr>
      <w:r w:rsidRPr="001E4CDF">
        <w:rPr>
          <w:lang w:val="sr-Latn-RS"/>
        </w:rPr>
        <w:t>Sve informacije za izračunavanje poreza na imovinu (osim prosečnih cena koje se zasnivaju na istraživanju) su sadržane u formularu koji je poslat svim obveznicima u toku 2013. zbog uvođenja novog poreza na imovinu.  Sve relevantne informacije se čuvaju u kompjuterskom sistemu koji automatski generiše poresku obavezu.  Procedure ne predviđaju diskreciona ovlašćenja kojima bi poreski obveznik mogao da izbegne obavezu.  Zvanično obaveštenje (rešenje o porezu) se šalje poreskim obveznicima poštom.</w:t>
      </w:r>
    </w:p>
    <w:p w:rsidR="00261842" w:rsidRPr="001E4CDF" w:rsidRDefault="00261842">
      <w:pPr>
        <w:pStyle w:val="ParagraphNumbering"/>
        <w:numPr>
          <w:ilvl w:val="0"/>
          <w:numId w:val="0"/>
        </w:numPr>
        <w:spacing w:line="260" w:lineRule="auto"/>
        <w:jc w:val="both"/>
        <w:rPr>
          <w:lang w:val="sr-Latn-RS"/>
        </w:rPr>
      </w:pPr>
      <w:r w:rsidRPr="001E4CDF">
        <w:rPr>
          <w:lang w:val="sr-Latn-RS"/>
        </w:rPr>
        <w:t>Ocena A</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 xml:space="preserve"> (</w:t>
      </w:r>
      <w:proofErr w:type="spellStart"/>
      <w:r w:rsidRPr="001E4CDF">
        <w:rPr>
          <w:b/>
          <w:szCs w:val="24"/>
          <w:lang w:val="sr-Latn-RS"/>
        </w:rPr>
        <w:t>ii</w:t>
      </w:r>
      <w:proofErr w:type="spellEnd"/>
      <w:r w:rsidRPr="001E4CDF">
        <w:rPr>
          <w:b/>
          <w:szCs w:val="24"/>
          <w:lang w:val="sr-Latn-RS"/>
        </w:rPr>
        <w:t>) Dostupnost informacija o poreskim obavezama i administrativnim procedurama za poreske obveznike</w:t>
      </w:r>
    </w:p>
    <w:p w:rsidR="00261842" w:rsidRPr="001E4CDF" w:rsidRDefault="00261842">
      <w:pPr>
        <w:pStyle w:val="ParagraphNumbering"/>
        <w:numPr>
          <w:ilvl w:val="0"/>
          <w:numId w:val="0"/>
        </w:numPr>
        <w:spacing w:line="260" w:lineRule="auto"/>
        <w:jc w:val="both"/>
        <w:rPr>
          <w:lang w:val="sr-Latn-RS"/>
        </w:rPr>
      </w:pPr>
      <w:r w:rsidRPr="001E4CDF">
        <w:rPr>
          <w:lang w:val="sr-Latn-RS"/>
        </w:rPr>
        <w:t xml:space="preserve">Informacije koje se odnose na promene kao što su </w:t>
      </w:r>
      <w:proofErr w:type="spellStart"/>
      <w:r w:rsidRPr="001E4CDF">
        <w:rPr>
          <w:lang w:val="sr-Latn-RS"/>
        </w:rPr>
        <w:t>zoniranje</w:t>
      </w:r>
      <w:proofErr w:type="spellEnd"/>
      <w:r w:rsidRPr="001E4CDF">
        <w:rPr>
          <w:lang w:val="sr-Latn-RS"/>
        </w:rPr>
        <w:t xml:space="preserve">, prosečne cene i važeće tarife po vrednosti se rutinski daju u godišnjem budžetu. Takve informacije se objavljuju u službenom glasniku.  Takve informacije se objavljuju u službenom listu.  Poreski obveznik na zahtev </w:t>
      </w:r>
      <w:r w:rsidRPr="001E4CDF">
        <w:rPr>
          <w:lang w:val="sr-Latn-RS"/>
        </w:rPr>
        <w:lastRenderedPageBreak/>
        <w:t>može dobiti dodatne informacije.  Privredna komora je zadovoljna informacijama Poreske administracije.</w:t>
      </w:r>
      <w:r w:rsidRPr="001E4CDF">
        <w:rPr>
          <w:rStyle w:val="FootnoteReference"/>
          <w:lang w:val="sr-Latn-RS"/>
        </w:rPr>
        <w:footnoteReference w:id="9"/>
      </w:r>
      <w:r w:rsidRPr="001E4CDF">
        <w:rPr>
          <w:rStyle w:val="FootnoteReference"/>
          <w:lang w:val="sr-Latn-RS"/>
        </w:rPr>
        <w:footnoteReference w:id="10"/>
      </w:r>
    </w:p>
    <w:p w:rsidR="00261842" w:rsidRPr="001E4CDF" w:rsidRDefault="00261842">
      <w:pPr>
        <w:pStyle w:val="ParagraphNumbering"/>
        <w:numPr>
          <w:ilvl w:val="0"/>
          <w:numId w:val="0"/>
        </w:numPr>
        <w:spacing w:line="260" w:lineRule="auto"/>
        <w:jc w:val="both"/>
        <w:rPr>
          <w:lang w:val="sr-Latn-RS"/>
        </w:rPr>
      </w:pPr>
      <w:r w:rsidRPr="001E4CDF">
        <w:rPr>
          <w:lang w:val="sr-Latn-RS"/>
        </w:rPr>
        <w:t>Ocena B</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w:t>
      </w:r>
      <w:proofErr w:type="spellStart"/>
      <w:r w:rsidRPr="001E4CDF">
        <w:rPr>
          <w:b/>
          <w:szCs w:val="24"/>
          <w:lang w:val="sr-Latn-RS"/>
        </w:rPr>
        <w:t>iii</w:t>
      </w:r>
      <w:proofErr w:type="spellEnd"/>
      <w:r w:rsidRPr="001E4CDF">
        <w:rPr>
          <w:b/>
          <w:szCs w:val="24"/>
          <w:lang w:val="sr-Latn-RS"/>
        </w:rPr>
        <w:t>) Postojanje i funkcionisanje mehanizama za podnošenje i rešavanja žalbe u vezi sa porezom</w:t>
      </w:r>
    </w:p>
    <w:p w:rsidR="00261842" w:rsidRPr="001E4CDF" w:rsidRDefault="00261842">
      <w:pPr>
        <w:pStyle w:val="ParagraphNumbering"/>
        <w:numPr>
          <w:ilvl w:val="0"/>
          <w:numId w:val="0"/>
        </w:numPr>
        <w:spacing w:line="260" w:lineRule="auto"/>
        <w:jc w:val="both"/>
        <w:rPr>
          <w:lang w:val="sr-Latn-RS"/>
        </w:rPr>
      </w:pPr>
      <w:r w:rsidRPr="001E4CDF">
        <w:rPr>
          <w:lang w:val="sr-Latn-RS"/>
        </w:rPr>
        <w:t xml:space="preserve">Pravo na žalbu je određeno u Zakonu.  Poreski obveznici mogu da se žale na procenu direktno poreskoj administraciji, koja će proveriti postojanje grešaka ili propusta i ispraviti ih.  Ostale žalbe se dostavljaju regionalnoj kancelariji Ministarstva finansija u Beogradu zajedno sa svim spisima predmeta.  Prema Zakonu o opštem upravnom postupku („Službeni glasnik SRJ“, br. 33/97 i 31/2001 i „Službeni glasnik RS“, br. 30/2010), nezadovoljna stranka nakon ovog </w:t>
      </w:r>
      <w:proofErr w:type="spellStart"/>
      <w:r w:rsidRPr="001E4CDF">
        <w:rPr>
          <w:lang w:val="sr-Latn-RS"/>
        </w:rPr>
        <w:t>međukoraka</w:t>
      </w:r>
      <w:proofErr w:type="spellEnd"/>
      <w:r w:rsidRPr="001E4CDF">
        <w:rPr>
          <w:lang w:val="sr-Latn-RS"/>
        </w:rPr>
        <w:t xml:space="preserve"> može samo pokrenuti upravni spor pred Upravnim sudom.  Ne postoji nezavisni sistem za podnošenje i rešavanje žalbi izuzev regionalne kancelarije Ministarstva finansija pa je sistem potrebno u značajnoj meri </w:t>
      </w:r>
      <w:proofErr w:type="spellStart"/>
      <w:r w:rsidRPr="001E4CDF">
        <w:rPr>
          <w:lang w:val="sr-Latn-RS"/>
        </w:rPr>
        <w:t>redizajnirati</w:t>
      </w:r>
      <w:proofErr w:type="spellEnd"/>
      <w:r w:rsidRPr="001E4CDF">
        <w:rPr>
          <w:lang w:val="sr-Latn-RS"/>
        </w:rPr>
        <w:t>.  U 2013. podnete su tri žalbe koje su rešene u prvom stepenu u korist opštine.  U 2014. godini podnete su 4 žalbe u vezi sa zemljištem i njihovo rešavanje je u toku.</w:t>
      </w:r>
    </w:p>
    <w:p w:rsidR="00261842" w:rsidRPr="001E4CDF" w:rsidRDefault="00261842">
      <w:pPr>
        <w:pStyle w:val="ParagraphNumbering"/>
        <w:numPr>
          <w:ilvl w:val="0"/>
          <w:numId w:val="0"/>
        </w:numPr>
        <w:spacing w:line="260" w:lineRule="auto"/>
        <w:jc w:val="both"/>
        <w:rPr>
          <w:lang w:val="sr-Latn-RS"/>
        </w:rPr>
      </w:pPr>
      <w:r w:rsidRPr="001E4CDF">
        <w:rPr>
          <w:lang w:val="sr-Latn-RS"/>
        </w:rPr>
        <w:t>Ocena C</w:t>
      </w:r>
    </w:p>
    <w:p w:rsidR="00261842" w:rsidRPr="001E4CDF" w:rsidRDefault="00261842">
      <w:pPr>
        <w:spacing w:line="260" w:lineRule="auto"/>
        <w:rPr>
          <w:szCs w:val="24"/>
          <w:lang w:val="sr-Latn-RS"/>
        </w:rPr>
      </w:pPr>
      <w:r w:rsidRPr="001E4CDF">
        <w:rPr>
          <w:b/>
          <w:szCs w:val="24"/>
          <w:lang w:val="sr-Latn-RS"/>
        </w:rPr>
        <w:t xml:space="preserve">PU-14 Efikasnost mera za registrovanje poreskih obveznika i procenu poreskih obaveza </w:t>
      </w:r>
    </w:p>
    <w:p w:rsidR="00261842" w:rsidRPr="001E4CDF" w:rsidRDefault="00261842">
      <w:pPr>
        <w:rPr>
          <w:szCs w:val="24"/>
          <w:lang w:val="sr-Latn-RS"/>
        </w:rPr>
      </w:pPr>
    </w:p>
    <w:tbl>
      <w:tblPr>
        <w:tblW w:w="8931" w:type="dxa"/>
        <w:tblInd w:w="108" w:type="dxa"/>
        <w:tblLayout w:type="fixed"/>
        <w:tblLook w:val="0000" w:firstRow="0" w:lastRow="0" w:firstColumn="0" w:lastColumn="0" w:noHBand="0" w:noVBand="0"/>
      </w:tblPr>
      <w:tblGrid>
        <w:gridCol w:w="2835"/>
        <w:gridCol w:w="1134"/>
        <w:gridCol w:w="4962"/>
      </w:tblGrid>
      <w:tr w:rsidR="00261842" w:rsidRPr="00025057">
        <w:trPr>
          <w:trHeight w:val="293"/>
        </w:trPr>
        <w:tc>
          <w:tcPr>
            <w:tcW w:w="2835"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6096" w:type="dxa"/>
            <w:gridSpan w:val="2"/>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M2)</w:t>
            </w:r>
          </w:p>
        </w:tc>
      </w:tr>
      <w:tr w:rsidR="00261842" w:rsidRPr="00C03E15">
        <w:trPr>
          <w:trHeight w:val="252"/>
        </w:trPr>
        <w:tc>
          <w:tcPr>
            <w:tcW w:w="2835"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1134"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color w:val="000000"/>
                <w:sz w:val="20"/>
                <w:szCs w:val="24"/>
                <w:lang w:val="sr-Latn-RS"/>
              </w:rPr>
            </w:pPr>
            <w:r w:rsidRPr="00C03E15">
              <w:rPr>
                <w:color w:val="000000"/>
                <w:sz w:val="20"/>
                <w:szCs w:val="24"/>
                <w:lang w:val="sr-Latn-RS"/>
              </w:rPr>
              <w:t>2014</w:t>
            </w:r>
          </w:p>
        </w:tc>
        <w:tc>
          <w:tcPr>
            <w:tcW w:w="4962"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Objašnjenje</w:t>
            </w:r>
          </w:p>
        </w:tc>
      </w:tr>
      <w:tr w:rsidR="00261842" w:rsidRPr="001E4CDF">
        <w:trPr>
          <w:trHeight w:val="252"/>
        </w:trPr>
        <w:tc>
          <w:tcPr>
            <w:tcW w:w="2835" w:type="dxa"/>
            <w:tcBorders>
              <w:top w:val="single" w:sz="8" w:space="0" w:color="000000"/>
              <w:lef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b/>
                <w:color w:val="000000"/>
                <w:sz w:val="20"/>
                <w:szCs w:val="24"/>
                <w:lang w:val="sr-Latn-RS"/>
              </w:rPr>
              <w:t>PU-14 Efikasnost mera za registrovanje poreskih obveznika i procenu poreskih obaveza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b/>
                <w:color w:val="000000"/>
                <w:sz w:val="20"/>
                <w:szCs w:val="24"/>
                <w:lang w:val="sr-Latn-RS"/>
              </w:rPr>
              <w:t>Ocena D+</w:t>
            </w:r>
          </w:p>
        </w:tc>
        <w:tc>
          <w:tcPr>
            <w:tcW w:w="4962" w:type="dxa"/>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tabs>
                <w:tab w:val="num" w:pos="720"/>
                <w:tab w:val="num" w:pos="1146"/>
              </w:tabs>
              <w:suppressAutoHyphens/>
              <w:autoSpaceDE w:val="0"/>
              <w:adjustRightInd w:val="0"/>
              <w:snapToGrid w:val="0"/>
              <w:spacing w:line="240" w:lineRule="auto"/>
              <w:textAlignment w:val="baseline"/>
              <w:rPr>
                <w:rFonts w:ascii="Arial" w:hAnsi="Arial"/>
                <w:color w:val="000000"/>
                <w:sz w:val="20"/>
                <w:szCs w:val="24"/>
                <w:lang w:val="sr-Latn-RS"/>
              </w:rPr>
            </w:pPr>
          </w:p>
        </w:tc>
      </w:tr>
      <w:tr w:rsidR="00261842" w:rsidRPr="00025057">
        <w:trPr>
          <w:trHeight w:val="252"/>
        </w:trPr>
        <w:tc>
          <w:tcPr>
            <w:tcW w:w="2835" w:type="dxa"/>
            <w:tcBorders>
              <w:top w:val="single" w:sz="8" w:space="0" w:color="000000"/>
              <w:left w:val="single" w:sz="8" w:space="0" w:color="000000"/>
              <w:bottom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(i) Kontrole u sistemu registrovanja poreskih obveznika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B</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Poreski obveznici se registruju u kompletnom sistemu sa bazom podataka koji je jednim delom povezan sa drugim odgovarajućim vladinim sistemima za registraciju i </w:t>
            </w:r>
            <w:proofErr w:type="spellStart"/>
            <w:r w:rsidRPr="00C03E15">
              <w:rPr>
                <w:color w:val="000000"/>
                <w:sz w:val="20"/>
                <w:szCs w:val="24"/>
                <w:lang w:val="sr-Latn-RS"/>
              </w:rPr>
              <w:t>regulativom</w:t>
            </w:r>
            <w:proofErr w:type="spellEnd"/>
            <w:r w:rsidRPr="00C03E15">
              <w:rPr>
                <w:color w:val="000000"/>
                <w:sz w:val="20"/>
                <w:szCs w:val="24"/>
                <w:lang w:val="sr-Latn-RS"/>
              </w:rPr>
              <w:t xml:space="preserve"> u finansijskom sektoru.</w:t>
            </w:r>
          </w:p>
        </w:tc>
      </w:tr>
      <w:tr w:rsidR="00261842" w:rsidRPr="00025057">
        <w:trPr>
          <w:trHeight w:val="252"/>
        </w:trPr>
        <w:tc>
          <w:tcPr>
            <w:tcW w:w="2835" w:type="dxa"/>
            <w:tcBorders>
              <w:top w:val="single" w:sz="8" w:space="0" w:color="000000"/>
              <w:left w:val="single" w:sz="8" w:space="0" w:color="000000"/>
              <w:bottom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xml:space="preserve">) Efikasnost kaznenih mera za </w:t>
            </w:r>
            <w:r w:rsidRPr="00C03E15">
              <w:rPr>
                <w:sz w:val="20"/>
                <w:szCs w:val="24"/>
                <w:lang w:val="sr-Latn-RS"/>
              </w:rPr>
              <w:lastRenderedPageBreak/>
              <w:t>nepoštovanje obaveza vezanih za registrovanje i prijavu poreza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lastRenderedPageBreak/>
              <w:t>D</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Kazne za nepoštovanja obaveza generalno ne postoje ili su </w:t>
            </w:r>
            <w:r w:rsidRPr="00C03E15">
              <w:rPr>
                <w:color w:val="000000"/>
                <w:sz w:val="20"/>
                <w:szCs w:val="24"/>
                <w:lang w:val="sr-Latn-RS"/>
              </w:rPr>
              <w:lastRenderedPageBreak/>
              <w:t>neefikasne (npr. preniske da bi imale efekta ili se retko izriču).</w:t>
            </w:r>
          </w:p>
        </w:tc>
      </w:tr>
      <w:tr w:rsidR="00261842" w:rsidRPr="00025057">
        <w:trPr>
          <w:trHeight w:val="252"/>
        </w:trPr>
        <w:tc>
          <w:tcPr>
            <w:tcW w:w="2835" w:type="dxa"/>
            <w:tcBorders>
              <w:top w:val="single" w:sz="4" w:space="0" w:color="auto"/>
              <w:left w:val="single" w:sz="8" w:space="0" w:color="000000"/>
              <w:bottom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lastRenderedPageBreak/>
              <w:t>(</w:t>
            </w:r>
            <w:proofErr w:type="spellStart"/>
            <w:r w:rsidRPr="00C03E15">
              <w:rPr>
                <w:sz w:val="20"/>
                <w:szCs w:val="24"/>
                <w:lang w:val="sr-Latn-RS"/>
              </w:rPr>
              <w:t>iii</w:t>
            </w:r>
            <w:proofErr w:type="spellEnd"/>
            <w:r w:rsidRPr="00C03E15">
              <w:rPr>
                <w:sz w:val="20"/>
                <w:szCs w:val="24"/>
                <w:lang w:val="sr-Latn-RS"/>
              </w:rPr>
              <w:t>) Planiranje i praćenje programa poreskih revizija i istrage u slučaju pronevera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D</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Poreska kontrola i istrage u slučaju pronevere vrše se na ad hoc bazi ili se uopšte ni ne vrše.</w:t>
            </w:r>
          </w:p>
        </w:tc>
      </w:tr>
    </w:tbl>
    <w:p w:rsidR="00261842" w:rsidRPr="001E4CDF" w:rsidRDefault="00261842">
      <w:pPr>
        <w:pStyle w:val="ParagraphNumbering"/>
        <w:numPr>
          <w:ilvl w:val="0"/>
          <w:numId w:val="0"/>
        </w:numPr>
        <w:spacing w:after="0"/>
        <w:rPr>
          <w:b/>
          <w:lang w:val="sr-Latn-RS"/>
        </w:rPr>
      </w:pPr>
    </w:p>
    <w:p w:rsidR="00261842" w:rsidRPr="001E4CDF" w:rsidRDefault="00261842">
      <w:pPr>
        <w:pStyle w:val="ParagraphNumbering"/>
        <w:numPr>
          <w:ilvl w:val="0"/>
          <w:numId w:val="0"/>
        </w:numPr>
        <w:spacing w:after="0" w:line="260" w:lineRule="auto"/>
        <w:rPr>
          <w:b/>
          <w:lang w:val="sr-Latn-RS"/>
        </w:rPr>
      </w:pPr>
      <w:proofErr w:type="spellStart"/>
      <w:r w:rsidRPr="001E4CDF">
        <w:rPr>
          <w:lang w:val="sr-Latn-RS"/>
        </w:rPr>
        <w:t>Efektivnost</w:t>
      </w:r>
      <w:proofErr w:type="spellEnd"/>
      <w:r w:rsidRPr="001E4CDF">
        <w:rPr>
          <w:lang w:val="sr-Latn-RS"/>
        </w:rPr>
        <w:t xml:space="preserve"> u proceni poreza se utvrđuje na osnovu interakcije između registracije poreskih obveznika i tačne procene poreske obaveze za te poreske obveznike.  Ovaj indikator procenjuje ove elemente poreske administracije.</w:t>
      </w:r>
    </w:p>
    <w:p w:rsidR="00261842" w:rsidRPr="001E4CDF" w:rsidRDefault="00261842">
      <w:pPr>
        <w:tabs>
          <w:tab w:val="num" w:pos="720"/>
          <w:tab w:val="num" w:pos="1146"/>
        </w:tabs>
        <w:spacing w:before="240" w:after="240" w:line="260" w:lineRule="auto"/>
        <w:jc w:val="both"/>
        <w:rPr>
          <w:b/>
          <w:szCs w:val="24"/>
          <w:lang w:val="sr-Latn-RS"/>
        </w:rPr>
      </w:pPr>
      <w:r w:rsidRPr="001E4CDF">
        <w:rPr>
          <w:b/>
          <w:szCs w:val="24"/>
          <w:lang w:val="sr-Latn-RS"/>
        </w:rPr>
        <w:t>(i) Kontrole u sistemu registrovanja poreskih obveznika</w:t>
      </w:r>
    </w:p>
    <w:p w:rsidR="00261842" w:rsidRPr="001E4CDF" w:rsidRDefault="00261842">
      <w:pPr>
        <w:tabs>
          <w:tab w:val="num" w:pos="720"/>
          <w:tab w:val="num" w:pos="1146"/>
        </w:tabs>
        <w:spacing w:before="240" w:after="240" w:line="260" w:lineRule="auto"/>
        <w:jc w:val="both"/>
        <w:rPr>
          <w:szCs w:val="24"/>
          <w:lang w:val="sr-Latn-RS"/>
        </w:rPr>
      </w:pPr>
      <w:r w:rsidRPr="001E4CDF">
        <w:rPr>
          <w:szCs w:val="24"/>
          <w:lang w:val="sr-Latn-RS"/>
        </w:rPr>
        <w:t>Sa uvođenjem novog poreza na imovinu, opština je poslala obrazac svim vlasnicima nepokretnosti i poreska administracija poseduje baze podataka sa svim svojstvima i relevantnim detaljima.  Broj evidentiranih u bazi je znatno povećan, jer je opština preuzela administriranje poreza na imovinu.  Kada je opština preuzela ovu obavezu bilo je 1.100 evidentiranih u bazi a ovaj broj je porastao na 1.550 do 2013. godine, da bi u 2014. godini dostigao 3.600.  Značajno povećanje je ostvareno u 2014, kada je uveden novi poreski režim, sa obavezom poreskih obveznika da dostave nove informacije u poreskoj prijavi, ali i uvođenjem poreza na imovinu nad zemljištem koje ranije nije bilo obuhvaćeno.  Time poreski obveznik može da ima više prijava.  Zakon zahteva da poreski obveznici prijave sve promene u roku od 15 dana.</w:t>
      </w:r>
    </w:p>
    <w:p w:rsidR="00261842" w:rsidRPr="001E4CDF" w:rsidRDefault="00261842">
      <w:pPr>
        <w:tabs>
          <w:tab w:val="num" w:pos="720"/>
          <w:tab w:val="num" w:pos="1146"/>
        </w:tabs>
        <w:spacing w:before="240" w:after="240" w:line="260" w:lineRule="auto"/>
        <w:jc w:val="both"/>
        <w:rPr>
          <w:szCs w:val="24"/>
          <w:lang w:val="sr-Latn-RS"/>
        </w:rPr>
      </w:pPr>
      <w:r w:rsidRPr="001E4CDF">
        <w:rPr>
          <w:szCs w:val="24"/>
          <w:lang w:val="sr-Latn-RS"/>
        </w:rPr>
        <w:t xml:space="preserve">Postoje razne veze sa drugim i sistemima vlade i finansijskim sistemom.  Poreska administracija vrši unakrsnu proveru podataka sa Ministarstvom unutrašnjih poslova i </w:t>
      </w:r>
      <w:proofErr w:type="spellStart"/>
      <w:r w:rsidRPr="001E4CDF">
        <w:rPr>
          <w:szCs w:val="24"/>
          <w:lang w:val="sr-Latn-RS"/>
        </w:rPr>
        <w:t>katastrom</w:t>
      </w:r>
      <w:proofErr w:type="spellEnd"/>
      <w:r w:rsidRPr="001E4CDF">
        <w:rPr>
          <w:szCs w:val="24"/>
          <w:lang w:val="sr-Latn-RS"/>
        </w:rPr>
        <w:t xml:space="preserve"> kao i sudom (u vezi sa nasledstvom) kako bi se obuhvatila celokupna imovna.  Takođe se koriste građevinske dozvole  za praćenje novoizgrađenih objekata.  Potvrda o izmirenju poreza zahteva se za učestvovanje u javnim nabavkama, kao i za određene vidove državne pomoći.  U 2013. je izdato 1,128 takvih potvrda.  Veze sa otvaranjem računa u banci se ne koriste.</w:t>
      </w:r>
    </w:p>
    <w:p w:rsidR="00261842" w:rsidRPr="001E4CDF" w:rsidRDefault="00261842">
      <w:pPr>
        <w:tabs>
          <w:tab w:val="num" w:pos="720"/>
          <w:tab w:val="num" w:pos="1146"/>
        </w:tabs>
        <w:spacing w:before="240" w:after="240" w:line="260" w:lineRule="auto"/>
        <w:jc w:val="both"/>
        <w:rPr>
          <w:szCs w:val="24"/>
          <w:lang w:val="sr-Latn-RS"/>
        </w:rPr>
      </w:pPr>
      <w:r w:rsidRPr="001E4CDF">
        <w:rPr>
          <w:szCs w:val="24"/>
          <w:lang w:val="sr-Latn-RS"/>
        </w:rPr>
        <w:t>Ocena B</w:t>
      </w:r>
    </w:p>
    <w:p w:rsidR="00261842" w:rsidRPr="001E4CDF" w:rsidRDefault="00261842">
      <w:pPr>
        <w:tabs>
          <w:tab w:val="num" w:pos="720"/>
          <w:tab w:val="num" w:pos="1146"/>
        </w:tabs>
        <w:spacing w:after="120" w:line="260" w:lineRule="auto"/>
        <w:jc w:val="both"/>
        <w:rPr>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xml:space="preserve">) Efikasnost kaznenih mera za nepoštovanje obaveza vezanih za registrovanje i prijavu poreza </w:t>
      </w:r>
    </w:p>
    <w:p w:rsidR="00261842" w:rsidRPr="001E4CDF" w:rsidRDefault="00261842">
      <w:pPr>
        <w:tabs>
          <w:tab w:val="num" w:pos="720"/>
          <w:tab w:val="num" w:pos="1146"/>
        </w:tabs>
        <w:spacing w:after="120" w:line="260" w:lineRule="auto"/>
        <w:jc w:val="both"/>
        <w:rPr>
          <w:szCs w:val="24"/>
          <w:lang w:val="sr-Latn-RS"/>
        </w:rPr>
      </w:pPr>
      <w:r w:rsidRPr="001E4CDF">
        <w:rPr>
          <w:szCs w:val="24"/>
          <w:lang w:val="sr-Latn-RS"/>
        </w:rPr>
        <w:t xml:space="preserve">Kaznene mere su određene u Zakonu. </w:t>
      </w:r>
      <w:r w:rsidRPr="001E4CDF">
        <w:rPr>
          <w:color w:val="000000"/>
          <w:szCs w:val="24"/>
          <w:lang w:val="sr-Latn-RS"/>
        </w:rPr>
        <w:t xml:space="preserve">U skladu sa „Odlukom o obavezi podnošenja poreskih prijava za utvrđivanje poreza na nepokretnosti“ (Skupština opštine </w:t>
      </w:r>
      <w:proofErr w:type="spellStart"/>
      <w:r w:rsidRPr="001E4CDF">
        <w:rPr>
          <w:color w:val="000000"/>
          <w:szCs w:val="24"/>
          <w:lang w:val="sr-Latn-RS"/>
        </w:rPr>
        <w:t>Osečina</w:t>
      </w:r>
      <w:proofErr w:type="spellEnd"/>
      <w:r w:rsidRPr="001E4CDF">
        <w:rPr>
          <w:color w:val="000000"/>
          <w:szCs w:val="24"/>
          <w:lang w:val="sr-Latn-RS"/>
        </w:rPr>
        <w:t xml:space="preserve">, br. 060-53/2013 od 26.11.2013. godine), zaprećena je novčana kazna za neizvršenje ove obaveze. Oni su u obavezi da plate od 5.000 do 50.000 RSD, u skladu sa članom 180 Zakona o poreskom postupku i poreskoj administraciji („Službeni glasnik“, br. </w:t>
      </w:r>
      <w:r w:rsidRPr="001E4CDF">
        <w:rPr>
          <w:szCs w:val="24"/>
          <w:lang w:val="sr-Latn-RS"/>
        </w:rPr>
        <w:t xml:space="preserve">80/02, 84/02) ali se primena i uticaj ovih kazni ne smatraju efikasnim.  Mnogo efikasniji je član 75 istog Zakona kojim se </w:t>
      </w:r>
      <w:r w:rsidRPr="001E4CDF">
        <w:rPr>
          <w:szCs w:val="24"/>
          <w:lang w:val="sr-Latn-RS"/>
        </w:rPr>
        <w:lastRenderedPageBreak/>
        <w:t xml:space="preserve">propisuje automatsko dodavanje kamate od 10 procentnih poena preko bankarskih </w:t>
      </w:r>
      <w:proofErr w:type="spellStart"/>
      <w:r w:rsidRPr="001E4CDF">
        <w:rPr>
          <w:szCs w:val="24"/>
          <w:lang w:val="sr-Latn-RS"/>
        </w:rPr>
        <w:t>kamatnih</w:t>
      </w:r>
      <w:proofErr w:type="spellEnd"/>
      <w:r w:rsidRPr="001E4CDF">
        <w:rPr>
          <w:szCs w:val="24"/>
          <w:lang w:val="sr-Latn-RS"/>
        </w:rPr>
        <w:t xml:space="preserve"> stopa na poresku obavezu koja nije plaćena u roku.  U skladu sa članom 75, u slučaju neplaćanja, račun preduzeća može biti blokiran.  Članovi 71, 77, 78, 79, 84, 92 i 95 određuju procedure za prinudnu naplatu.  Efikasnost se može procenjivati po nivou poreskih dugovanja kao i izostanku nastojanja da se primeni zakon u slučajevima neplaćanja (tokom </w:t>
      </w:r>
      <w:r w:rsidRPr="00C03E15">
        <w:rPr>
          <w:rFonts w:ascii="Calibri" w:hAnsi="Calibri"/>
          <w:szCs w:val="24"/>
          <w:lang w:val="sr-Latn-RS"/>
        </w:rPr>
        <w:t>2013: 3 i 2014: 0)</w:t>
      </w:r>
      <w:r w:rsidRPr="001E4CDF">
        <w:rPr>
          <w:szCs w:val="24"/>
          <w:lang w:val="sr-Latn-RS"/>
        </w:rPr>
        <w:t xml:space="preserve">.  </w:t>
      </w:r>
    </w:p>
    <w:p w:rsidR="00261842" w:rsidRPr="001E4CDF" w:rsidRDefault="00261842">
      <w:pPr>
        <w:pStyle w:val="ListParagraph"/>
        <w:ind w:left="0"/>
        <w:jc w:val="both"/>
        <w:rPr>
          <w:szCs w:val="24"/>
          <w:lang w:val="sr-Latn-RS"/>
        </w:rPr>
      </w:pPr>
    </w:p>
    <w:p w:rsidR="00261842" w:rsidRPr="001E4CDF" w:rsidRDefault="00261842">
      <w:pPr>
        <w:pStyle w:val="ListParagraph"/>
        <w:spacing w:line="260" w:lineRule="auto"/>
        <w:ind w:left="0"/>
        <w:jc w:val="both"/>
        <w:rPr>
          <w:szCs w:val="24"/>
          <w:lang w:val="sr-Latn-RS"/>
        </w:rPr>
      </w:pPr>
      <w:r w:rsidRPr="001E4CDF">
        <w:rPr>
          <w:szCs w:val="24"/>
          <w:lang w:val="sr-Latn-RS"/>
        </w:rPr>
        <w:t>Ocena D</w:t>
      </w:r>
    </w:p>
    <w:p w:rsidR="00261842" w:rsidRPr="001E4CDF" w:rsidRDefault="00261842">
      <w:pPr>
        <w:tabs>
          <w:tab w:val="num" w:pos="720"/>
          <w:tab w:val="num" w:pos="1146"/>
        </w:tabs>
        <w:spacing w:after="120"/>
        <w:jc w:val="both"/>
        <w:rPr>
          <w:b/>
          <w:szCs w:val="24"/>
          <w:lang w:val="sr-Latn-RS"/>
        </w:rPr>
      </w:pP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w:t>
      </w:r>
      <w:proofErr w:type="spellStart"/>
      <w:r w:rsidRPr="001E4CDF">
        <w:rPr>
          <w:b/>
          <w:szCs w:val="24"/>
          <w:lang w:val="sr-Latn-RS"/>
        </w:rPr>
        <w:t>iii</w:t>
      </w:r>
      <w:proofErr w:type="spellEnd"/>
      <w:r w:rsidRPr="001E4CDF">
        <w:rPr>
          <w:b/>
          <w:szCs w:val="24"/>
          <w:lang w:val="sr-Latn-RS"/>
        </w:rPr>
        <w:t>) Planiranje i praćenje programa poreskih revizija i istrage u slučaju pronevera</w:t>
      </w:r>
    </w:p>
    <w:p w:rsidR="00261842" w:rsidRPr="001E4CDF" w:rsidRDefault="00261842" w:rsidP="00A35519">
      <w:pPr>
        <w:pStyle w:val="ParagraphNumbering"/>
        <w:numPr>
          <w:ilvl w:val="0"/>
          <w:numId w:val="0"/>
        </w:numPr>
        <w:spacing w:line="260" w:lineRule="auto"/>
        <w:jc w:val="both"/>
        <w:rPr>
          <w:lang w:val="sr-Latn-RS"/>
        </w:rPr>
      </w:pPr>
      <w:r w:rsidRPr="001E4CDF">
        <w:rPr>
          <w:lang w:val="sr-Latn-RS"/>
        </w:rPr>
        <w:t>Ne postoji plan revizije – terenske istrage se ne vrše.  U poreskoj administraciji su zaposlene samo 2 osobe.  Dve kancelarijske kontrole su vršene tokom 2014. a jedna tokom 2013. godine da bi se proverila ispravnost poreskih prijava privrednih društava u pogledu prijavljene zone.  Kontrolisano je 28 preduzeća</w:t>
      </w:r>
    </w:p>
    <w:p w:rsidR="00261842" w:rsidRPr="001E4CDF" w:rsidRDefault="00261842">
      <w:pPr>
        <w:spacing w:line="240" w:lineRule="auto"/>
        <w:rPr>
          <w:szCs w:val="24"/>
          <w:lang w:val="sr-Latn-RS"/>
        </w:rPr>
      </w:pPr>
      <w:r w:rsidRPr="001E4CDF">
        <w:rPr>
          <w:szCs w:val="24"/>
          <w:lang w:val="sr-Latn-RS"/>
        </w:rPr>
        <w:t>Ocena D</w:t>
      </w:r>
    </w:p>
    <w:p w:rsidR="00261842" w:rsidRPr="001E4CDF" w:rsidRDefault="00261842">
      <w:pPr>
        <w:spacing w:line="240" w:lineRule="auto"/>
        <w:rPr>
          <w:b/>
          <w:szCs w:val="24"/>
          <w:lang w:val="sr-Latn-RS"/>
        </w:rPr>
      </w:pPr>
    </w:p>
    <w:p w:rsidR="00261842" w:rsidRPr="001E4CDF" w:rsidRDefault="00261842">
      <w:pPr>
        <w:spacing w:line="260" w:lineRule="auto"/>
        <w:rPr>
          <w:b/>
          <w:szCs w:val="24"/>
          <w:lang w:val="sr-Latn-RS"/>
        </w:rPr>
      </w:pPr>
      <w:r w:rsidRPr="001E4CDF">
        <w:rPr>
          <w:b/>
          <w:szCs w:val="24"/>
          <w:lang w:val="sr-Latn-RS"/>
        </w:rPr>
        <w:t>PU-15 Efikasnost naplate poreskih obaveza</w:t>
      </w:r>
    </w:p>
    <w:p w:rsidR="00261842" w:rsidRPr="001E4CDF" w:rsidRDefault="00261842">
      <w:pPr>
        <w:tabs>
          <w:tab w:val="num" w:pos="720"/>
          <w:tab w:val="num" w:pos="1146"/>
        </w:tabs>
        <w:jc w:val="both"/>
        <w:rPr>
          <w:b/>
          <w:szCs w:val="24"/>
          <w:lang w:val="sr-Latn-RS"/>
        </w:rPr>
      </w:pPr>
    </w:p>
    <w:tbl>
      <w:tblPr>
        <w:tblW w:w="8931" w:type="dxa"/>
        <w:tblInd w:w="108" w:type="dxa"/>
        <w:tblLayout w:type="fixed"/>
        <w:tblLook w:val="0000" w:firstRow="0" w:lastRow="0" w:firstColumn="0" w:lastColumn="0" w:noHBand="0" w:noVBand="0"/>
      </w:tblPr>
      <w:tblGrid>
        <w:gridCol w:w="2977"/>
        <w:gridCol w:w="1134"/>
        <w:gridCol w:w="4820"/>
      </w:tblGrid>
      <w:tr w:rsidR="00261842" w:rsidRPr="00025057">
        <w:trPr>
          <w:trHeight w:val="293"/>
        </w:trPr>
        <w:tc>
          <w:tcPr>
            <w:tcW w:w="2977"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5954" w:type="dxa"/>
            <w:gridSpan w:val="2"/>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2977"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textAlignment w:val="baseline"/>
              <w:rPr>
                <w:rFonts w:ascii="Arial" w:hAnsi="Arial"/>
                <w:color w:val="000000"/>
                <w:sz w:val="20"/>
                <w:szCs w:val="24"/>
                <w:lang w:val="sr-Latn-RS"/>
              </w:rPr>
            </w:pPr>
          </w:p>
        </w:tc>
        <w:tc>
          <w:tcPr>
            <w:tcW w:w="1134"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color w:val="000000"/>
                <w:sz w:val="20"/>
                <w:szCs w:val="24"/>
                <w:lang w:val="sr-Latn-RS"/>
              </w:rPr>
            </w:pPr>
            <w:r w:rsidRPr="00C03E15">
              <w:rPr>
                <w:color w:val="000000"/>
                <w:sz w:val="20"/>
                <w:szCs w:val="24"/>
                <w:lang w:val="sr-Latn-RS"/>
              </w:rPr>
              <w:t>2014</w:t>
            </w:r>
          </w:p>
        </w:tc>
        <w:tc>
          <w:tcPr>
            <w:tcW w:w="4820"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Objašnjenje</w:t>
            </w:r>
          </w:p>
        </w:tc>
      </w:tr>
      <w:tr w:rsidR="00261842" w:rsidRPr="001E4CDF">
        <w:trPr>
          <w:trHeight w:val="252"/>
        </w:trPr>
        <w:tc>
          <w:tcPr>
            <w:tcW w:w="2977" w:type="dxa"/>
            <w:tcBorders>
              <w:top w:val="single" w:sz="8" w:space="0" w:color="000000"/>
              <w:left w:val="single" w:sz="8" w:space="0" w:color="000000"/>
              <w:bottom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b/>
                <w:color w:val="000000"/>
                <w:sz w:val="20"/>
                <w:szCs w:val="24"/>
                <w:lang w:val="sr-Latn-RS"/>
              </w:rPr>
              <w:t>PU-15 Efikasnost naplate poreskih obaveza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b/>
                <w:color w:val="000000"/>
                <w:sz w:val="20"/>
                <w:szCs w:val="24"/>
                <w:lang w:val="sr-Latn-RS"/>
              </w:rPr>
              <w:t>Ocena D+</w:t>
            </w:r>
          </w:p>
        </w:tc>
        <w:tc>
          <w:tcPr>
            <w:tcW w:w="4820" w:type="dxa"/>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tabs>
                <w:tab w:val="num" w:pos="720"/>
                <w:tab w:val="num" w:pos="1146"/>
              </w:tabs>
              <w:suppressAutoHyphens/>
              <w:autoSpaceDE w:val="0"/>
              <w:adjustRightInd w:val="0"/>
              <w:snapToGrid w:val="0"/>
              <w:spacing w:line="240" w:lineRule="auto"/>
              <w:textAlignment w:val="baseline"/>
              <w:rPr>
                <w:rFonts w:ascii="Arial" w:hAnsi="Arial"/>
                <w:color w:val="000000"/>
                <w:sz w:val="20"/>
                <w:szCs w:val="24"/>
                <w:lang w:val="sr-Latn-RS"/>
              </w:rPr>
            </w:pPr>
          </w:p>
        </w:tc>
      </w:tr>
      <w:tr w:rsidR="00261842" w:rsidRPr="00025057">
        <w:trPr>
          <w:trHeight w:val="252"/>
        </w:trPr>
        <w:tc>
          <w:tcPr>
            <w:tcW w:w="2977" w:type="dxa"/>
            <w:tcBorders>
              <w:top w:val="single" w:sz="8" w:space="0" w:color="000000"/>
              <w:left w:val="single" w:sz="8" w:space="0" w:color="000000"/>
              <w:bottom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(i) Stopa naplate ukupnih </w:t>
            </w:r>
            <w:proofErr w:type="spellStart"/>
            <w:r w:rsidRPr="00C03E15">
              <w:rPr>
                <w:color w:val="000000"/>
                <w:sz w:val="20"/>
                <w:szCs w:val="24"/>
                <w:lang w:val="sr-Latn-RS"/>
              </w:rPr>
              <w:t>neizmirenih</w:t>
            </w:r>
            <w:proofErr w:type="spellEnd"/>
            <w:r w:rsidRPr="00C03E15">
              <w:rPr>
                <w:color w:val="000000"/>
                <w:sz w:val="20"/>
                <w:szCs w:val="24"/>
                <w:lang w:val="sr-Latn-RS"/>
              </w:rPr>
              <w:t xml:space="preserve"> poreskih obaveza je procenat </w:t>
            </w:r>
            <w:proofErr w:type="spellStart"/>
            <w:r w:rsidRPr="00C03E15">
              <w:rPr>
                <w:color w:val="000000"/>
                <w:sz w:val="20"/>
                <w:szCs w:val="24"/>
                <w:lang w:val="sr-Latn-RS"/>
              </w:rPr>
              <w:t>neizmirenih</w:t>
            </w:r>
            <w:proofErr w:type="spellEnd"/>
            <w:r w:rsidRPr="00C03E15">
              <w:rPr>
                <w:color w:val="000000"/>
                <w:sz w:val="20"/>
                <w:szCs w:val="24"/>
                <w:lang w:val="sr-Latn-RS"/>
              </w:rPr>
              <w:t xml:space="preserve"> poreskih obaveza na početku budžetske godine koje su naplaćene u toku budžetske godine (uzima se prosek za poslednje dve budžetske godine).</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D</w:t>
            </w:r>
          </w:p>
        </w:tc>
        <w:tc>
          <w:tcPr>
            <w:tcW w:w="4820"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Ukupan nivo poreskih dugovanja je znatan (tj. više od 2% ukupne godišnje naplate)</w:t>
            </w:r>
          </w:p>
        </w:tc>
      </w:tr>
      <w:tr w:rsidR="00261842" w:rsidRPr="00025057">
        <w:trPr>
          <w:trHeight w:val="252"/>
        </w:trPr>
        <w:tc>
          <w:tcPr>
            <w:tcW w:w="2977" w:type="dxa"/>
            <w:tcBorders>
              <w:top w:val="single" w:sz="4" w:space="0" w:color="auto"/>
              <w:left w:val="single" w:sz="8" w:space="0" w:color="000000"/>
              <w:bottom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 (</w:t>
            </w:r>
            <w:proofErr w:type="spellStart"/>
            <w:r w:rsidRPr="00C03E15">
              <w:rPr>
                <w:color w:val="000000"/>
                <w:sz w:val="20"/>
                <w:szCs w:val="24"/>
                <w:lang w:val="sr-Latn-RS"/>
              </w:rPr>
              <w:t>ii</w:t>
            </w:r>
            <w:proofErr w:type="spellEnd"/>
            <w:r w:rsidRPr="00C03E15">
              <w:rPr>
                <w:color w:val="000000"/>
                <w:sz w:val="20"/>
                <w:szCs w:val="24"/>
                <w:lang w:val="sr-Latn-RS"/>
              </w:rPr>
              <w:t>) Efikasnost prenosa naplaćenih poreskih prihoda u Trezor.</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A</w:t>
            </w:r>
          </w:p>
        </w:tc>
        <w:tc>
          <w:tcPr>
            <w:tcW w:w="4820"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40" w:lineRule="auto"/>
              <w:jc w:val="both"/>
              <w:rPr>
                <w:szCs w:val="24"/>
                <w:lang w:val="sr-Latn-RS"/>
              </w:rPr>
            </w:pPr>
            <w:r w:rsidRPr="00C03E15">
              <w:rPr>
                <w:sz w:val="20"/>
                <w:szCs w:val="24"/>
                <w:lang w:val="sr-Latn-RS"/>
              </w:rPr>
              <w:t xml:space="preserve">Svi poreski prihodi uplaćuju se direktno na račune koje kontroliše Trezor ili se transferi u Trezor vrše na dnevnoj bazi. </w:t>
            </w:r>
          </w:p>
        </w:tc>
      </w:tr>
      <w:tr w:rsidR="00261842" w:rsidRPr="00025057">
        <w:trPr>
          <w:trHeight w:val="252"/>
        </w:trPr>
        <w:tc>
          <w:tcPr>
            <w:tcW w:w="2977" w:type="dxa"/>
            <w:tcBorders>
              <w:top w:val="single" w:sz="4" w:space="0" w:color="auto"/>
              <w:left w:val="single" w:sz="8" w:space="0" w:color="000000"/>
              <w:bottom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w:t>
            </w:r>
            <w:proofErr w:type="spellStart"/>
            <w:r w:rsidRPr="00C03E15">
              <w:rPr>
                <w:color w:val="000000"/>
                <w:sz w:val="20"/>
                <w:szCs w:val="24"/>
                <w:lang w:val="sr-Latn-RS"/>
              </w:rPr>
              <w:t>iii</w:t>
            </w:r>
            <w:proofErr w:type="spellEnd"/>
            <w:r w:rsidRPr="00C03E15">
              <w:rPr>
                <w:color w:val="000000"/>
                <w:sz w:val="20"/>
                <w:szCs w:val="24"/>
                <w:lang w:val="sr-Latn-RS"/>
              </w:rPr>
              <w:t>) Učestalost sravnjivanja svih računa poreskih obaveza, naplate, dugovanja i priliva u Trezor</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A</w:t>
            </w:r>
          </w:p>
        </w:tc>
        <w:tc>
          <w:tcPr>
            <w:tcW w:w="4820"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Kompletno </w:t>
            </w:r>
            <w:proofErr w:type="spellStart"/>
            <w:r w:rsidRPr="00C03E15">
              <w:rPr>
                <w:color w:val="000000"/>
                <w:sz w:val="20"/>
                <w:szCs w:val="24"/>
                <w:lang w:val="sr-Latn-RS"/>
              </w:rPr>
              <w:t>sravnjenje</w:t>
            </w:r>
            <w:proofErr w:type="spellEnd"/>
            <w:r w:rsidRPr="00C03E15">
              <w:rPr>
                <w:color w:val="000000"/>
                <w:sz w:val="20"/>
                <w:szCs w:val="24"/>
                <w:lang w:val="sr-Latn-RS"/>
              </w:rPr>
              <w:t xml:space="preserve"> poreskih obaveza, naplate, dugovanja i transfera u Trezor vrši se najmanje jednom mesečno u roku od mesec dana po isteku meseca.</w:t>
            </w:r>
          </w:p>
        </w:tc>
      </w:tr>
    </w:tbl>
    <w:p w:rsidR="00261842" w:rsidRPr="001E4CDF" w:rsidRDefault="00261842">
      <w:pPr>
        <w:tabs>
          <w:tab w:val="num" w:pos="720"/>
          <w:tab w:val="num" w:pos="1146"/>
        </w:tabs>
        <w:rPr>
          <w:b/>
          <w:szCs w:val="24"/>
          <w:lang w:val="sr-Latn-RS"/>
        </w:rPr>
      </w:pPr>
    </w:p>
    <w:p w:rsidR="00261842" w:rsidRPr="001E4CDF" w:rsidRDefault="00261842" w:rsidP="00A56FE2">
      <w:pPr>
        <w:pStyle w:val="ParagraphNumbering"/>
        <w:numPr>
          <w:ilvl w:val="0"/>
          <w:numId w:val="0"/>
        </w:numPr>
        <w:spacing w:line="260" w:lineRule="auto"/>
        <w:jc w:val="both"/>
        <w:rPr>
          <w:lang w:val="sr-Latn-RS"/>
        </w:rPr>
      </w:pPr>
      <w:r w:rsidRPr="001E4CDF">
        <w:rPr>
          <w:lang w:val="sr-Latn-RS"/>
        </w:rPr>
        <w:t>Ovaj pokazatelj procenjuje porast poreskih dugovanja i naplatu poreskog duga kao meru pouzdanosti poreskog procesa i  jednakog tretmana svih poreskih obveznika. Brz prenos naplaćenih prihoda u Trezor je bitan radi njihove raspoloživosti za trošenje.</w:t>
      </w:r>
    </w:p>
    <w:p w:rsidR="00261842" w:rsidRPr="001E4CDF" w:rsidRDefault="00261842" w:rsidP="00A56FE2">
      <w:pPr>
        <w:pStyle w:val="ParagraphNumbering"/>
        <w:numPr>
          <w:ilvl w:val="0"/>
          <w:numId w:val="0"/>
        </w:numPr>
        <w:spacing w:line="260" w:lineRule="auto"/>
        <w:jc w:val="both"/>
        <w:rPr>
          <w:b/>
          <w:lang w:val="sr-Latn-RS"/>
        </w:rPr>
      </w:pPr>
      <w:r w:rsidRPr="001E4CDF">
        <w:rPr>
          <w:b/>
          <w:lang w:val="sr-Latn-RS"/>
        </w:rPr>
        <w:lastRenderedPageBreak/>
        <w:t xml:space="preserve">(i) Stopa naplate ukupnih </w:t>
      </w:r>
      <w:proofErr w:type="spellStart"/>
      <w:r w:rsidRPr="001E4CDF">
        <w:rPr>
          <w:b/>
          <w:lang w:val="sr-Latn-RS"/>
        </w:rPr>
        <w:t>neizmirenih</w:t>
      </w:r>
      <w:proofErr w:type="spellEnd"/>
      <w:r w:rsidRPr="001E4CDF">
        <w:rPr>
          <w:b/>
          <w:lang w:val="sr-Latn-RS"/>
        </w:rPr>
        <w:t xml:space="preserve"> poreskih obaveza je procenat </w:t>
      </w:r>
      <w:proofErr w:type="spellStart"/>
      <w:r w:rsidRPr="001E4CDF">
        <w:rPr>
          <w:b/>
          <w:lang w:val="sr-Latn-RS"/>
        </w:rPr>
        <w:t>neizmirenih</w:t>
      </w:r>
      <w:proofErr w:type="spellEnd"/>
      <w:r w:rsidRPr="001E4CDF">
        <w:rPr>
          <w:b/>
          <w:lang w:val="sr-Latn-RS"/>
        </w:rPr>
        <w:t xml:space="preserve"> poreskih obaveza na početku budžetske godine koje su naplaćene u toku budžetske godine (uzima se prosek za poslednje dve budžetske godine).</w:t>
      </w:r>
    </w:p>
    <w:p w:rsidR="00261842" w:rsidRPr="001E4CDF" w:rsidRDefault="00261842" w:rsidP="00A56FE2">
      <w:pPr>
        <w:pStyle w:val="ParagraphNumbering"/>
        <w:numPr>
          <w:ilvl w:val="0"/>
          <w:numId w:val="0"/>
        </w:numPr>
        <w:spacing w:line="260" w:lineRule="auto"/>
        <w:jc w:val="both"/>
        <w:rPr>
          <w:lang w:val="sr-Latn-RS"/>
        </w:rPr>
      </w:pPr>
      <w:r w:rsidRPr="001E4CDF">
        <w:rPr>
          <w:lang w:val="sr-Latn-RS"/>
        </w:rPr>
        <w:t xml:space="preserve">Iznos poreskih dugovanja je značajan. U 2011. godini iznos poreskih dugovanja bio je 516 procenata prikupljenog poreza (RSD 47 miliona), u 2012. bio je 453 procenta (RSD 54 miliona), a u 2013. godini 495 procenta (RSD 50 miliona). </w:t>
      </w:r>
      <w:r w:rsidR="00C03E15">
        <w:rPr>
          <w:lang w:val="sr-Latn-RS"/>
        </w:rPr>
        <w:t xml:space="preserve">Stopa naplate je nula između 2011. i 2012. jer se nivo duga povećava. </w:t>
      </w:r>
    </w:p>
    <w:p w:rsidR="00261842" w:rsidRPr="001E4CDF" w:rsidRDefault="00261842" w:rsidP="00A56FE2">
      <w:pPr>
        <w:pStyle w:val="ParagraphNumbering"/>
        <w:numPr>
          <w:ilvl w:val="0"/>
          <w:numId w:val="0"/>
        </w:numPr>
        <w:spacing w:line="260" w:lineRule="auto"/>
        <w:jc w:val="both"/>
        <w:rPr>
          <w:lang w:val="sr-Latn-RS"/>
        </w:rPr>
      </w:pPr>
      <w:proofErr w:type="spellStart"/>
      <w:r w:rsidRPr="001E4CDF">
        <w:rPr>
          <w:lang w:val="sr-Latn-RS"/>
        </w:rPr>
        <w:t>Nenaplaćene</w:t>
      </w:r>
      <w:proofErr w:type="spellEnd"/>
      <w:r w:rsidRPr="001E4CDF">
        <w:rPr>
          <w:lang w:val="sr-Latn-RS"/>
        </w:rPr>
        <w:t xml:space="preserve"> zaostale obaveze se otpisuju nakon 5 godina po zakonu (član 114, više odredbi) kao nenaplative („zastarevanje poreskih obaveza“) ali se ovo u praksi ne primenjuje jer se obaveštenja o zaostalim obavezama ponovo izdaju pre isteka petogodišnjeg perioda..</w:t>
      </w:r>
    </w:p>
    <w:p w:rsidR="00261842" w:rsidRPr="001E4CDF" w:rsidRDefault="00261842">
      <w:pPr>
        <w:pStyle w:val="ParagraphNumbering"/>
        <w:numPr>
          <w:ilvl w:val="0"/>
          <w:numId w:val="0"/>
        </w:numPr>
        <w:spacing w:line="260" w:lineRule="auto"/>
        <w:rPr>
          <w:lang w:val="sr-Latn-RS"/>
        </w:rPr>
      </w:pPr>
      <w:r w:rsidRPr="001E4CDF">
        <w:rPr>
          <w:lang w:val="sr-Latn-RS"/>
        </w:rPr>
        <w:t>Ocena D</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 xml:space="preserve"> (</w:t>
      </w:r>
      <w:proofErr w:type="spellStart"/>
      <w:r w:rsidRPr="001E4CDF">
        <w:rPr>
          <w:b/>
          <w:szCs w:val="24"/>
          <w:lang w:val="sr-Latn-RS"/>
        </w:rPr>
        <w:t>ii</w:t>
      </w:r>
      <w:proofErr w:type="spellEnd"/>
      <w:r w:rsidRPr="001E4CDF">
        <w:rPr>
          <w:b/>
          <w:szCs w:val="24"/>
          <w:lang w:val="sr-Latn-RS"/>
        </w:rPr>
        <w:t>) Efikasnost prenosa naplaćenih poreskih prihoda u Trezor.</w:t>
      </w:r>
    </w:p>
    <w:p w:rsidR="00261842" w:rsidRPr="001E4CDF" w:rsidRDefault="00261842">
      <w:pPr>
        <w:pStyle w:val="ParagraphNumbering"/>
        <w:numPr>
          <w:ilvl w:val="0"/>
          <w:numId w:val="0"/>
        </w:numPr>
        <w:spacing w:line="260" w:lineRule="auto"/>
        <w:rPr>
          <w:lang w:val="sr-Latn-RS"/>
        </w:rPr>
      </w:pPr>
      <w:r w:rsidRPr="001E4CDF">
        <w:rPr>
          <w:lang w:val="sr-Latn-RS"/>
        </w:rPr>
        <w:t>Plaćanja se vrše na jedinstveni račun trezora preko komercijalnih banaka uz prijem sredstava u toku narednog dana.</w:t>
      </w:r>
    </w:p>
    <w:p w:rsidR="00261842" w:rsidRPr="001E4CDF" w:rsidRDefault="00261842">
      <w:pPr>
        <w:pStyle w:val="ParagraphNumbering"/>
        <w:numPr>
          <w:ilvl w:val="0"/>
          <w:numId w:val="0"/>
        </w:numPr>
        <w:spacing w:line="260" w:lineRule="auto"/>
        <w:rPr>
          <w:lang w:val="sr-Latn-RS"/>
        </w:rPr>
      </w:pPr>
      <w:r w:rsidRPr="001E4CDF">
        <w:rPr>
          <w:lang w:val="sr-Latn-RS"/>
        </w:rPr>
        <w:t>Ocena A</w:t>
      </w:r>
    </w:p>
    <w:p w:rsidR="00261842" w:rsidRPr="001E4CDF" w:rsidRDefault="00261842">
      <w:pPr>
        <w:widowControl w:val="0"/>
        <w:tabs>
          <w:tab w:val="num" w:pos="720"/>
          <w:tab w:val="num" w:pos="1146"/>
        </w:tabs>
        <w:suppressAutoHyphens/>
        <w:autoSpaceDE w:val="0"/>
        <w:adjustRightInd w:val="0"/>
        <w:spacing w:before="240" w:after="240" w:line="240" w:lineRule="auto"/>
        <w:jc w:val="both"/>
        <w:textAlignment w:val="baseline"/>
        <w:rPr>
          <w:b/>
          <w:color w:val="000000"/>
          <w:szCs w:val="24"/>
          <w:lang w:val="sr-Latn-RS"/>
        </w:rPr>
      </w:pPr>
      <w:r w:rsidRPr="001E4CDF">
        <w:rPr>
          <w:b/>
          <w:color w:val="000000"/>
          <w:szCs w:val="24"/>
          <w:lang w:val="sr-Latn-RS"/>
        </w:rPr>
        <w:t>(</w:t>
      </w:r>
      <w:proofErr w:type="spellStart"/>
      <w:r w:rsidRPr="001E4CDF">
        <w:rPr>
          <w:b/>
          <w:color w:val="000000"/>
          <w:szCs w:val="24"/>
          <w:lang w:val="sr-Latn-RS"/>
        </w:rPr>
        <w:t>iii</w:t>
      </w:r>
      <w:proofErr w:type="spellEnd"/>
      <w:r w:rsidRPr="001E4CDF">
        <w:rPr>
          <w:b/>
          <w:color w:val="000000"/>
          <w:szCs w:val="24"/>
          <w:lang w:val="sr-Latn-RS"/>
        </w:rPr>
        <w:t>) Učestalost sravnjivanja svih računa poreskih obaveza, naplate, dugovanja i priliva u Trezor</w:t>
      </w:r>
    </w:p>
    <w:p w:rsidR="00261842" w:rsidRPr="001E4CDF" w:rsidRDefault="00261842">
      <w:pPr>
        <w:widowControl w:val="0"/>
        <w:tabs>
          <w:tab w:val="num" w:pos="720"/>
          <w:tab w:val="num" w:pos="1146"/>
        </w:tabs>
        <w:suppressAutoHyphens/>
        <w:autoSpaceDE w:val="0"/>
        <w:adjustRightInd w:val="0"/>
        <w:spacing w:before="240" w:after="240" w:line="240" w:lineRule="auto"/>
        <w:jc w:val="both"/>
        <w:textAlignment w:val="baseline"/>
        <w:rPr>
          <w:szCs w:val="24"/>
          <w:lang w:val="sr-Latn-RS"/>
        </w:rPr>
      </w:pPr>
      <w:r w:rsidRPr="001E4CDF">
        <w:rPr>
          <w:color w:val="000000"/>
          <w:szCs w:val="24"/>
          <w:lang w:val="sr-Latn-RS"/>
        </w:rPr>
        <w:t xml:space="preserve">Računi se održavaju elektronski i ažuriraju se odmah nakon uplate.  Ako je određena poreska obaveza, a isplata nije primljena do datuma dospeća, </w:t>
      </w:r>
      <w:r w:rsidR="00C03E15">
        <w:rPr>
          <w:color w:val="000000"/>
          <w:szCs w:val="24"/>
          <w:lang w:val="sr-Latn-RS"/>
        </w:rPr>
        <w:t xml:space="preserve">automatski </w:t>
      </w:r>
      <w:r w:rsidRPr="001E4CDF">
        <w:rPr>
          <w:color w:val="000000"/>
          <w:szCs w:val="24"/>
          <w:lang w:val="sr-Latn-RS"/>
        </w:rPr>
        <w:t>dolazi do docnje</w:t>
      </w:r>
      <w:r w:rsidR="00C03E15">
        <w:rPr>
          <w:color w:val="000000"/>
          <w:szCs w:val="24"/>
          <w:lang w:val="sr-Latn-RS"/>
        </w:rPr>
        <w:t xml:space="preserve"> u poreskom elektronskom </w:t>
      </w:r>
      <w:proofErr w:type="spellStart"/>
      <w:r w:rsidR="00C03E15">
        <w:rPr>
          <w:color w:val="000000"/>
          <w:szCs w:val="24"/>
          <w:lang w:val="sr-Latn-RS"/>
        </w:rPr>
        <w:t>fajlu</w:t>
      </w:r>
      <w:proofErr w:type="spellEnd"/>
      <w:r w:rsidRPr="001E4CDF">
        <w:rPr>
          <w:color w:val="000000"/>
          <w:szCs w:val="24"/>
          <w:lang w:val="sr-Latn-RS"/>
        </w:rPr>
        <w:t xml:space="preserve"> i kamata se automatski dodaje na glavnicu, a obvezniku se</w:t>
      </w:r>
      <w:r w:rsidR="00C03E15">
        <w:rPr>
          <w:color w:val="000000"/>
          <w:szCs w:val="24"/>
          <w:lang w:val="sr-Latn-RS"/>
        </w:rPr>
        <w:t xml:space="preserve"> odmah</w:t>
      </w:r>
      <w:r w:rsidRPr="001E4CDF">
        <w:rPr>
          <w:color w:val="000000"/>
          <w:szCs w:val="24"/>
          <w:lang w:val="sr-Latn-RS"/>
        </w:rPr>
        <w:t xml:space="preserve"> šalje obaveštenje o tome.  </w:t>
      </w:r>
    </w:p>
    <w:p w:rsidR="00261842" w:rsidRPr="001E4CDF" w:rsidRDefault="00261842">
      <w:pPr>
        <w:widowControl w:val="0"/>
        <w:tabs>
          <w:tab w:val="num" w:pos="720"/>
          <w:tab w:val="num" w:pos="1146"/>
        </w:tabs>
        <w:suppressAutoHyphens/>
        <w:autoSpaceDE w:val="0"/>
        <w:adjustRightInd w:val="0"/>
        <w:spacing w:before="240" w:after="240" w:line="240" w:lineRule="auto"/>
        <w:jc w:val="both"/>
        <w:textAlignment w:val="baseline"/>
        <w:rPr>
          <w:color w:val="000000"/>
          <w:szCs w:val="24"/>
          <w:lang w:val="sr-Latn-RS"/>
        </w:rPr>
      </w:pPr>
      <w:r w:rsidRPr="001E4CDF">
        <w:rPr>
          <w:color w:val="000000"/>
          <w:szCs w:val="24"/>
          <w:lang w:val="sr-Latn-RS"/>
        </w:rPr>
        <w:t>Ocena A</w:t>
      </w:r>
    </w:p>
    <w:p w:rsidR="00261842" w:rsidRPr="001E4CDF" w:rsidRDefault="00261842">
      <w:pPr>
        <w:spacing w:line="260" w:lineRule="auto"/>
        <w:rPr>
          <w:b/>
          <w:szCs w:val="24"/>
          <w:lang w:val="sr-Latn-RS"/>
        </w:rPr>
      </w:pPr>
      <w:r w:rsidRPr="001E4CDF">
        <w:rPr>
          <w:b/>
          <w:szCs w:val="24"/>
          <w:lang w:val="sr-Latn-RS"/>
        </w:rPr>
        <w:t xml:space="preserve">PU-16 </w:t>
      </w:r>
      <w:proofErr w:type="spellStart"/>
      <w:r w:rsidRPr="001E4CDF">
        <w:rPr>
          <w:b/>
          <w:szCs w:val="24"/>
          <w:lang w:val="sr-Latn-RS"/>
        </w:rPr>
        <w:t>Predvidivost</w:t>
      </w:r>
      <w:proofErr w:type="spellEnd"/>
      <w:r w:rsidRPr="001E4CDF">
        <w:rPr>
          <w:b/>
          <w:szCs w:val="24"/>
          <w:lang w:val="sr-Latn-RS"/>
        </w:rPr>
        <w:t xml:space="preserve"> raspoloživosti sredstava za preuzimanje obaveza</w:t>
      </w:r>
    </w:p>
    <w:p w:rsidR="00261842" w:rsidRPr="001E4CDF" w:rsidRDefault="00261842">
      <w:pPr>
        <w:rPr>
          <w:szCs w:val="24"/>
          <w:lang w:val="sr-Latn-RS"/>
        </w:rPr>
      </w:pPr>
    </w:p>
    <w:tbl>
      <w:tblPr>
        <w:tblW w:w="9096" w:type="dxa"/>
        <w:tblInd w:w="108" w:type="dxa"/>
        <w:tblLayout w:type="fixed"/>
        <w:tblLook w:val="0000" w:firstRow="0" w:lastRow="0" w:firstColumn="0" w:lastColumn="0" w:noHBand="0" w:noVBand="0"/>
      </w:tblPr>
      <w:tblGrid>
        <w:gridCol w:w="2977"/>
        <w:gridCol w:w="1134"/>
        <w:gridCol w:w="4961"/>
        <w:gridCol w:w="24"/>
      </w:tblGrid>
      <w:tr w:rsidR="00261842" w:rsidRPr="00025057">
        <w:trPr>
          <w:trHeight w:val="293"/>
        </w:trPr>
        <w:tc>
          <w:tcPr>
            <w:tcW w:w="2977"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6119" w:type="dxa"/>
            <w:gridSpan w:val="3"/>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rPr>
          <w:gridAfter w:val="1"/>
          <w:wAfter w:w="24" w:type="dxa"/>
          <w:trHeight w:val="252"/>
        </w:trPr>
        <w:tc>
          <w:tcPr>
            <w:tcW w:w="2977"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1134"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color w:val="000000"/>
                <w:sz w:val="20"/>
                <w:szCs w:val="24"/>
                <w:lang w:val="sr-Latn-RS"/>
              </w:rPr>
            </w:pPr>
            <w:r w:rsidRPr="00C03E15">
              <w:rPr>
                <w:color w:val="000000"/>
                <w:sz w:val="20"/>
                <w:szCs w:val="24"/>
                <w:lang w:val="sr-Latn-RS"/>
              </w:rPr>
              <w:t>2014</w:t>
            </w:r>
          </w:p>
        </w:tc>
        <w:tc>
          <w:tcPr>
            <w:tcW w:w="4961"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Objašnjenje</w:t>
            </w:r>
          </w:p>
        </w:tc>
      </w:tr>
      <w:tr w:rsidR="00261842" w:rsidRPr="001E4CDF">
        <w:trPr>
          <w:gridAfter w:val="1"/>
          <w:wAfter w:w="24" w:type="dxa"/>
          <w:trHeight w:val="252"/>
        </w:trPr>
        <w:tc>
          <w:tcPr>
            <w:tcW w:w="2977" w:type="dxa"/>
            <w:tcBorders>
              <w:top w:val="single" w:sz="8" w:space="0" w:color="000000"/>
              <w:left w:val="single" w:sz="8" w:space="0" w:color="000000"/>
              <w:bottom w:val="single" w:sz="8" w:space="0" w:color="000000"/>
            </w:tcBorders>
          </w:tcPr>
          <w:p w:rsidR="00261842" w:rsidRPr="00C03E15" w:rsidRDefault="00261842">
            <w:pPr>
              <w:pStyle w:val="Default"/>
              <w:tabs>
                <w:tab w:val="num" w:pos="720"/>
                <w:tab w:val="num" w:pos="1146"/>
              </w:tabs>
              <w:rPr>
                <w:rFonts w:ascii="SimSun"/>
                <w:lang w:val="sr-Latn-RS"/>
              </w:rPr>
            </w:pPr>
            <w:r w:rsidRPr="00C03E15">
              <w:rPr>
                <w:b/>
                <w:sz w:val="20"/>
                <w:lang w:val="sr-Latn-RS"/>
              </w:rPr>
              <w:t xml:space="preserve">PU-16 </w:t>
            </w:r>
            <w:proofErr w:type="spellStart"/>
            <w:r w:rsidRPr="00C03E15">
              <w:rPr>
                <w:b/>
                <w:sz w:val="20"/>
                <w:lang w:val="sr-Latn-RS"/>
              </w:rPr>
              <w:t>Predvidivost</w:t>
            </w:r>
            <w:proofErr w:type="spellEnd"/>
            <w:r w:rsidRPr="00C03E15">
              <w:rPr>
                <w:b/>
                <w:sz w:val="20"/>
                <w:lang w:val="sr-Latn-RS"/>
              </w:rPr>
              <w:t xml:space="preserve"> raspoloživosti sredstava za preuzimanje obaveza </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b/>
                <w:color w:val="000000"/>
                <w:sz w:val="20"/>
                <w:szCs w:val="24"/>
                <w:lang w:val="sr-Latn-RS"/>
              </w:rPr>
              <w:t>Ocena B+</w:t>
            </w:r>
          </w:p>
        </w:tc>
        <w:tc>
          <w:tcPr>
            <w:tcW w:w="4961" w:type="dxa"/>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tabs>
                <w:tab w:val="num" w:pos="720"/>
                <w:tab w:val="num" w:pos="1146"/>
              </w:tabs>
              <w:suppressAutoHyphens/>
              <w:autoSpaceDE w:val="0"/>
              <w:adjustRightInd w:val="0"/>
              <w:snapToGrid w:val="0"/>
              <w:spacing w:line="240" w:lineRule="auto"/>
              <w:textAlignment w:val="baseline"/>
              <w:rPr>
                <w:rFonts w:ascii="Arial" w:hAnsi="Arial"/>
                <w:color w:val="000000"/>
                <w:sz w:val="20"/>
                <w:szCs w:val="24"/>
                <w:lang w:val="sr-Latn-RS"/>
              </w:rPr>
            </w:pPr>
          </w:p>
        </w:tc>
      </w:tr>
      <w:tr w:rsidR="00261842" w:rsidRPr="00025057">
        <w:trPr>
          <w:gridAfter w:val="1"/>
          <w:wAfter w:w="24" w:type="dxa"/>
          <w:trHeight w:val="252"/>
        </w:trPr>
        <w:tc>
          <w:tcPr>
            <w:tcW w:w="2977" w:type="dxa"/>
            <w:tcBorders>
              <w:top w:val="single" w:sz="8" w:space="0" w:color="000000"/>
              <w:left w:val="single" w:sz="8" w:space="0" w:color="000000"/>
              <w:bottom w:val="single" w:sz="4" w:space="0" w:color="auto"/>
            </w:tcBorders>
          </w:tcPr>
          <w:p w:rsidR="00261842" w:rsidRPr="00C03E15" w:rsidRDefault="00261842">
            <w:pPr>
              <w:pStyle w:val="Default"/>
              <w:tabs>
                <w:tab w:val="num" w:pos="720"/>
                <w:tab w:val="num" w:pos="1146"/>
              </w:tabs>
              <w:rPr>
                <w:rFonts w:ascii="SimSun"/>
                <w:lang w:val="sr-Latn-RS"/>
              </w:rPr>
            </w:pPr>
            <w:r w:rsidRPr="00C03E15">
              <w:rPr>
                <w:sz w:val="20"/>
                <w:lang w:val="sr-Latn-RS"/>
              </w:rPr>
              <w:t>(i) Obim predviđanja i praćenja gotovinskih tokova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A</w:t>
            </w:r>
          </w:p>
        </w:tc>
        <w:tc>
          <w:tcPr>
            <w:tcW w:w="4961" w:type="dxa"/>
            <w:tcBorders>
              <w:top w:val="single" w:sz="8" w:space="0" w:color="000000"/>
              <w:left w:val="single" w:sz="8" w:space="0" w:color="000000"/>
              <w:bottom w:val="single" w:sz="8" w:space="0" w:color="000000"/>
              <w:right w:val="single" w:sz="8" w:space="0" w:color="000000"/>
            </w:tcBorders>
          </w:tcPr>
          <w:p w:rsidR="00261842" w:rsidRPr="00C03E15" w:rsidRDefault="00261842">
            <w:pPr>
              <w:pStyle w:val="ListParagraph"/>
              <w:spacing w:line="240" w:lineRule="auto"/>
              <w:ind w:left="0"/>
              <w:contextualSpacing w:val="0"/>
              <w:rPr>
                <w:szCs w:val="24"/>
                <w:lang w:val="sr-Latn-RS"/>
              </w:rPr>
            </w:pPr>
            <w:r w:rsidRPr="00C03E15">
              <w:rPr>
                <w:color w:val="000000"/>
                <w:sz w:val="20"/>
                <w:szCs w:val="24"/>
                <w:lang w:val="sr-Latn-RS"/>
              </w:rPr>
              <w:t>Prognoze gotovinskih tokova prave se za fiskalnu godinu i ažuriraju se mesečno na bazi stvarnih priliva i odliva gotovinskih sredstava.</w:t>
            </w:r>
          </w:p>
        </w:tc>
      </w:tr>
      <w:tr w:rsidR="00261842" w:rsidRPr="00025057">
        <w:trPr>
          <w:gridAfter w:val="1"/>
          <w:wAfter w:w="24" w:type="dxa"/>
          <w:trHeight w:val="252"/>
        </w:trPr>
        <w:tc>
          <w:tcPr>
            <w:tcW w:w="2977" w:type="dxa"/>
            <w:tcBorders>
              <w:top w:val="single" w:sz="4" w:space="0" w:color="auto"/>
              <w:left w:val="single" w:sz="4" w:space="0" w:color="auto"/>
              <w:bottom w:val="single" w:sz="4" w:space="0" w:color="auto"/>
              <w:right w:val="single" w:sz="4" w:space="0" w:color="auto"/>
            </w:tcBorders>
          </w:tcPr>
          <w:p w:rsidR="00261842" w:rsidRPr="00C03E15" w:rsidRDefault="00261842">
            <w:pPr>
              <w:tabs>
                <w:tab w:val="num" w:pos="720"/>
                <w:tab w:val="num" w:pos="1146"/>
              </w:tabs>
              <w:autoSpaceDE w:val="0"/>
              <w:autoSpaceDN w:val="0"/>
              <w:adjustRightInd w:val="0"/>
              <w:spacing w:line="26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xml:space="preserve">) Pouzdanost i opseg informacija o ograničenjima za </w:t>
            </w:r>
            <w:proofErr w:type="spellStart"/>
            <w:r w:rsidRPr="00C03E15">
              <w:rPr>
                <w:sz w:val="20"/>
                <w:szCs w:val="24"/>
                <w:lang w:val="sr-Latn-RS"/>
              </w:rPr>
              <w:lastRenderedPageBreak/>
              <w:t>preuzmanje</w:t>
            </w:r>
            <w:proofErr w:type="spellEnd"/>
            <w:r w:rsidRPr="00C03E15">
              <w:rPr>
                <w:sz w:val="20"/>
                <w:szCs w:val="24"/>
                <w:lang w:val="sr-Latn-RS"/>
              </w:rPr>
              <w:t xml:space="preserve"> obaveza koja se u toku godine periodično dostavljaju korisnicima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lastRenderedPageBreak/>
              <w:t>B</w:t>
            </w:r>
          </w:p>
        </w:tc>
        <w:tc>
          <w:tcPr>
            <w:tcW w:w="4961"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40" w:lineRule="auto"/>
              <w:jc w:val="both"/>
              <w:rPr>
                <w:szCs w:val="24"/>
                <w:lang w:val="sr-Latn-RS"/>
              </w:rPr>
            </w:pPr>
            <w:r w:rsidRPr="00C03E15">
              <w:rPr>
                <w:sz w:val="20"/>
                <w:szCs w:val="24"/>
                <w:lang w:val="sr-Latn-RS"/>
              </w:rPr>
              <w:t xml:space="preserve">Korisnici dobijaju pouzdane informacije o ograničenjima za stvaranje obaveza najmanje </w:t>
            </w:r>
            <w:proofErr w:type="spellStart"/>
            <w:r w:rsidRPr="00C03E15">
              <w:rPr>
                <w:sz w:val="20"/>
                <w:szCs w:val="24"/>
                <w:lang w:val="sr-Latn-RS"/>
              </w:rPr>
              <w:t>kvartalno</w:t>
            </w:r>
            <w:proofErr w:type="spellEnd"/>
            <w:r w:rsidRPr="00C03E15">
              <w:rPr>
                <w:sz w:val="20"/>
                <w:szCs w:val="24"/>
                <w:lang w:val="sr-Latn-RS"/>
              </w:rPr>
              <w:t xml:space="preserve"> i unapred. </w:t>
            </w:r>
          </w:p>
        </w:tc>
      </w:tr>
      <w:tr w:rsidR="00261842" w:rsidRPr="00025057">
        <w:trPr>
          <w:gridAfter w:val="1"/>
          <w:wAfter w:w="24" w:type="dxa"/>
          <w:trHeight w:val="252"/>
        </w:trPr>
        <w:tc>
          <w:tcPr>
            <w:tcW w:w="2977" w:type="dxa"/>
            <w:tcBorders>
              <w:top w:val="single" w:sz="4" w:space="0" w:color="auto"/>
              <w:left w:val="single" w:sz="8" w:space="0" w:color="000000"/>
              <w:bottom w:val="single" w:sz="8" w:space="0" w:color="000000"/>
            </w:tcBorders>
          </w:tcPr>
          <w:p w:rsidR="00261842" w:rsidRPr="00C03E15" w:rsidRDefault="00261842">
            <w:pPr>
              <w:tabs>
                <w:tab w:val="num" w:pos="720"/>
                <w:tab w:val="num" w:pos="1146"/>
              </w:tabs>
              <w:autoSpaceDE w:val="0"/>
              <w:autoSpaceDN w:val="0"/>
              <w:adjustRightInd w:val="0"/>
              <w:spacing w:line="260" w:lineRule="auto"/>
              <w:rPr>
                <w:szCs w:val="24"/>
                <w:lang w:val="sr-Latn-RS"/>
              </w:rPr>
            </w:pPr>
            <w:r w:rsidRPr="00C03E15">
              <w:rPr>
                <w:sz w:val="20"/>
                <w:szCs w:val="24"/>
                <w:lang w:val="sr-Latn-RS"/>
              </w:rPr>
              <w:lastRenderedPageBreak/>
              <w:t>(</w:t>
            </w:r>
            <w:proofErr w:type="spellStart"/>
            <w:r w:rsidRPr="00C03E15">
              <w:rPr>
                <w:sz w:val="20"/>
                <w:szCs w:val="24"/>
                <w:lang w:val="sr-Latn-RS"/>
              </w:rPr>
              <w:t>iii</w:t>
            </w:r>
            <w:proofErr w:type="spellEnd"/>
            <w:r w:rsidRPr="00C03E15">
              <w:rPr>
                <w:sz w:val="20"/>
                <w:szCs w:val="24"/>
                <w:lang w:val="sr-Latn-RS"/>
              </w:rPr>
              <w:t>) Dinamika i transparentnost prilagođavanja odobrenih iznosa u budžetu, o kojima se odlučuje na nivoima iznad nivoa korisnika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b/>
                <w:color w:val="000000"/>
                <w:sz w:val="20"/>
                <w:szCs w:val="24"/>
                <w:lang w:val="sr-Latn-RS"/>
              </w:rPr>
              <w:t>A</w:t>
            </w:r>
          </w:p>
        </w:tc>
        <w:tc>
          <w:tcPr>
            <w:tcW w:w="4961" w:type="dxa"/>
            <w:tcBorders>
              <w:top w:val="single" w:sz="8" w:space="0" w:color="000000"/>
              <w:left w:val="single" w:sz="8" w:space="0" w:color="000000"/>
              <w:bottom w:val="single" w:sz="8" w:space="0" w:color="000000"/>
              <w:right w:val="single" w:sz="8" w:space="0" w:color="000000"/>
            </w:tcBorders>
          </w:tcPr>
          <w:p w:rsidR="00261842" w:rsidRPr="00C03E15" w:rsidRDefault="00261842">
            <w:pPr>
              <w:pStyle w:val="ListParagraph"/>
              <w:spacing w:line="260" w:lineRule="auto"/>
              <w:ind w:left="0"/>
              <w:contextualSpacing w:val="0"/>
              <w:rPr>
                <w:szCs w:val="24"/>
                <w:lang w:val="sr-Latn-RS"/>
              </w:rPr>
            </w:pPr>
            <w:r w:rsidRPr="00C03E15">
              <w:rPr>
                <w:sz w:val="20"/>
                <w:szCs w:val="24"/>
                <w:lang w:val="sr-Latn-RS"/>
              </w:rPr>
              <w:t>Značajna prilagođavanja tokom godine u odobrenim iznosima budžeta sprovode se samo jednom ili dva puta godišnje na transparentan i predvidiv način</w:t>
            </w:r>
          </w:p>
        </w:tc>
      </w:tr>
    </w:tbl>
    <w:p w:rsidR="00261842" w:rsidRPr="001E4CDF" w:rsidRDefault="00261842">
      <w:pPr>
        <w:tabs>
          <w:tab w:val="num" w:pos="720"/>
          <w:tab w:val="num" w:pos="1146"/>
        </w:tabs>
        <w:rPr>
          <w:b/>
          <w:szCs w:val="24"/>
          <w:lang w:val="sr-Latn-RS"/>
        </w:rPr>
      </w:pPr>
    </w:p>
    <w:p w:rsidR="00261842" w:rsidRPr="001E4CDF" w:rsidRDefault="00261842" w:rsidP="00AB26AC">
      <w:pPr>
        <w:pStyle w:val="ParagraphNumbering"/>
        <w:numPr>
          <w:ilvl w:val="0"/>
          <w:numId w:val="0"/>
        </w:numPr>
        <w:spacing w:line="260" w:lineRule="auto"/>
        <w:jc w:val="both"/>
        <w:rPr>
          <w:b/>
          <w:lang w:val="sr-Latn-RS"/>
        </w:rPr>
      </w:pPr>
      <w:r w:rsidRPr="001E4CDF">
        <w:rPr>
          <w:lang w:val="sr-Latn-RS"/>
        </w:rPr>
        <w:t>Ovaj pokazatelj procenjuje da li korisnici budžetskih sredstava dobijaju pouzdane informacije od organa lokalne samouprave nadležnog za finansije o raspoloživosti sredstava na osnovu kojih mogu da opredele iznose tekućih i kapitalnih troškova.</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(i) Obim predviđanja i praćenja gotovinskih tokova</w:t>
      </w:r>
    </w:p>
    <w:p w:rsidR="00261842" w:rsidRPr="001E4CDF" w:rsidRDefault="00261842">
      <w:pPr>
        <w:tabs>
          <w:tab w:val="num" w:pos="720"/>
          <w:tab w:val="num" w:pos="1146"/>
        </w:tabs>
        <w:spacing w:after="120" w:line="260" w:lineRule="auto"/>
        <w:jc w:val="both"/>
        <w:rPr>
          <w:szCs w:val="24"/>
          <w:lang w:val="sr-Latn-RS"/>
        </w:rPr>
      </w:pPr>
      <w:r w:rsidRPr="001E4CDF">
        <w:rPr>
          <w:szCs w:val="24"/>
          <w:lang w:val="sr-Latn-RS"/>
        </w:rPr>
        <w:t>Početkom godine, pripremaju se prognoze gotovinskih tokova za svaki mesec na osnovu naplate i odliva prethodnih godina.  Priliv gotovine se svakodnevno prati, a priprema se i mesečni izveštaj o tokovima gotovine je i šalje Trezoru.  Mesečni tokovi se upoređuju sa predviđenim i vrše prilagođavanja.  Rashodi se prate i priprema se izveštaj.   Ocena A</w:t>
      </w:r>
    </w:p>
    <w:p w:rsidR="00261842" w:rsidRPr="00AB26AC" w:rsidRDefault="00261842">
      <w:pPr>
        <w:tabs>
          <w:tab w:val="num" w:pos="720"/>
          <w:tab w:val="num" w:pos="1146"/>
        </w:tabs>
        <w:autoSpaceDE w:val="0"/>
        <w:autoSpaceDN w:val="0"/>
        <w:adjustRightInd w:val="0"/>
        <w:spacing w:after="240" w:line="260" w:lineRule="auto"/>
        <w:rPr>
          <w:b/>
          <w:szCs w:val="24"/>
          <w:lang w:val="sr-Latn-RS"/>
        </w:rPr>
      </w:pPr>
      <w:r w:rsidRPr="00AB26AC">
        <w:rPr>
          <w:b/>
          <w:szCs w:val="24"/>
          <w:lang w:val="sr-Latn-RS"/>
        </w:rPr>
        <w:t xml:space="preserve"> (</w:t>
      </w:r>
      <w:proofErr w:type="spellStart"/>
      <w:r w:rsidRPr="00AB26AC">
        <w:rPr>
          <w:b/>
          <w:szCs w:val="24"/>
          <w:lang w:val="sr-Latn-RS"/>
        </w:rPr>
        <w:t>ii</w:t>
      </w:r>
      <w:proofErr w:type="spellEnd"/>
      <w:r w:rsidRPr="00AB26AC">
        <w:rPr>
          <w:b/>
          <w:szCs w:val="24"/>
          <w:lang w:val="sr-Latn-RS"/>
        </w:rPr>
        <w:t xml:space="preserve">) Pouzdanost i opseg informacija o ograničenjima za </w:t>
      </w:r>
      <w:proofErr w:type="spellStart"/>
      <w:r w:rsidRPr="00AB26AC">
        <w:rPr>
          <w:b/>
          <w:szCs w:val="24"/>
          <w:lang w:val="sr-Latn-RS"/>
        </w:rPr>
        <w:t>preuzmanje</w:t>
      </w:r>
      <w:proofErr w:type="spellEnd"/>
      <w:r w:rsidRPr="00AB26AC">
        <w:rPr>
          <w:b/>
          <w:szCs w:val="24"/>
          <w:lang w:val="sr-Latn-RS"/>
        </w:rPr>
        <w:t xml:space="preserve"> obaveza koja se u toku godine periodično dostavljaju korisnicima</w:t>
      </w:r>
    </w:p>
    <w:p w:rsidR="00261842" w:rsidRPr="001E4CDF" w:rsidRDefault="00261842" w:rsidP="00AB26AC">
      <w:pPr>
        <w:pStyle w:val="ParagraphNumbering"/>
        <w:numPr>
          <w:ilvl w:val="0"/>
          <w:numId w:val="0"/>
        </w:numPr>
        <w:spacing w:line="260" w:lineRule="auto"/>
        <w:jc w:val="both"/>
        <w:rPr>
          <w:lang w:val="sr-Latn-RS"/>
        </w:rPr>
      </w:pPr>
      <w:r w:rsidRPr="001E4CDF">
        <w:rPr>
          <w:lang w:val="sr-Latn-RS"/>
        </w:rPr>
        <w:t xml:space="preserve">Na osnovu godišnjih planova po </w:t>
      </w:r>
      <w:proofErr w:type="spellStart"/>
      <w:r w:rsidRPr="001E4CDF">
        <w:rPr>
          <w:lang w:val="sr-Latn-RS"/>
        </w:rPr>
        <w:t>kvartalima</w:t>
      </w:r>
      <w:proofErr w:type="spellEnd"/>
      <w:r w:rsidRPr="001E4CDF">
        <w:rPr>
          <w:lang w:val="sr-Latn-RS"/>
        </w:rPr>
        <w:t xml:space="preserve">, svaka organizaciona jedinica dobija kvote za svaki </w:t>
      </w:r>
      <w:proofErr w:type="spellStart"/>
      <w:r w:rsidRPr="001E4CDF">
        <w:rPr>
          <w:lang w:val="sr-Latn-RS"/>
        </w:rPr>
        <w:t>kvartal</w:t>
      </w:r>
      <w:proofErr w:type="spellEnd"/>
      <w:r w:rsidRPr="001E4CDF">
        <w:rPr>
          <w:lang w:val="sr-Latn-RS"/>
        </w:rPr>
        <w:t xml:space="preserve"> u godini, tako da mogu </w:t>
      </w:r>
      <w:proofErr w:type="spellStart"/>
      <w:r w:rsidRPr="001E4CDF">
        <w:rPr>
          <w:lang w:val="sr-Latn-RS"/>
        </w:rPr>
        <w:t>kvartalno</w:t>
      </w:r>
      <w:proofErr w:type="spellEnd"/>
      <w:r w:rsidRPr="001E4CDF">
        <w:rPr>
          <w:lang w:val="sr-Latn-RS"/>
        </w:rPr>
        <w:t xml:space="preserve"> da preuzimaju obaveze.  Ove kvote se određuju pre početka kvartala.  </w:t>
      </w:r>
      <w:proofErr w:type="spellStart"/>
      <w:r w:rsidRPr="001E4CDF">
        <w:rPr>
          <w:lang w:val="sr-Latn-RS"/>
        </w:rPr>
        <w:t>Kvartalne</w:t>
      </w:r>
      <w:proofErr w:type="spellEnd"/>
      <w:r w:rsidRPr="001E4CDF">
        <w:rPr>
          <w:lang w:val="sr-Latn-RS"/>
        </w:rPr>
        <w:t xml:space="preserve"> kvote odražavaju prognoze gotovinskih tokova kao i potreba.  Ocena B</w:t>
      </w:r>
    </w:p>
    <w:p w:rsidR="00261842" w:rsidRPr="001E4CDF" w:rsidRDefault="00261842">
      <w:pPr>
        <w:tabs>
          <w:tab w:val="num" w:pos="720"/>
          <w:tab w:val="num" w:pos="1146"/>
        </w:tabs>
        <w:autoSpaceDE w:val="0"/>
        <w:autoSpaceDN w:val="0"/>
        <w:adjustRightInd w:val="0"/>
        <w:spacing w:after="120" w:line="240" w:lineRule="auto"/>
        <w:rPr>
          <w:b/>
          <w:szCs w:val="24"/>
          <w:lang w:val="sr-Latn-RS"/>
        </w:rPr>
      </w:pPr>
      <w:r w:rsidRPr="001E4CDF">
        <w:rPr>
          <w:b/>
          <w:szCs w:val="24"/>
          <w:lang w:val="sr-Latn-RS"/>
        </w:rPr>
        <w:t>(</w:t>
      </w:r>
      <w:proofErr w:type="spellStart"/>
      <w:r w:rsidRPr="001E4CDF">
        <w:rPr>
          <w:b/>
          <w:szCs w:val="24"/>
          <w:lang w:val="sr-Latn-RS"/>
        </w:rPr>
        <w:t>iii</w:t>
      </w:r>
      <w:proofErr w:type="spellEnd"/>
      <w:r w:rsidRPr="001E4CDF">
        <w:rPr>
          <w:b/>
          <w:szCs w:val="24"/>
          <w:lang w:val="sr-Latn-RS"/>
        </w:rPr>
        <w:t>)</w:t>
      </w:r>
      <w:r w:rsidRPr="001E4CDF">
        <w:rPr>
          <w:rFonts w:ascii="SimSun CE" w:hAnsi="SimSun CE"/>
          <w:b/>
          <w:szCs w:val="24"/>
          <w:lang w:val="sr-Latn-RS"/>
        </w:rPr>
        <w:t xml:space="preserve"> </w:t>
      </w:r>
      <w:r w:rsidRPr="001E4CDF">
        <w:rPr>
          <w:b/>
          <w:szCs w:val="24"/>
          <w:lang w:val="sr-Latn-RS"/>
        </w:rPr>
        <w:t>Dinamika i transparentnost prilagođavanja odobrenih iznosa u budžetu, o kojima se odlučuje na nivoima iznad nivoa korisnika.</w:t>
      </w:r>
    </w:p>
    <w:p w:rsidR="00261842" w:rsidRDefault="00261842">
      <w:pPr>
        <w:pStyle w:val="ParagraphNumbering"/>
        <w:numPr>
          <w:ilvl w:val="0"/>
          <w:numId w:val="0"/>
        </w:numPr>
        <w:spacing w:line="260" w:lineRule="auto"/>
        <w:rPr>
          <w:lang w:val="sr-Latn-RS"/>
        </w:rPr>
      </w:pPr>
      <w:r w:rsidRPr="001E4CDF">
        <w:rPr>
          <w:lang w:val="sr-Latn-RS"/>
        </w:rPr>
        <w:t>Budžet može biti izmenjen rebalansom</w:t>
      </w:r>
      <w:r w:rsidRPr="001E4CDF">
        <w:rPr>
          <w:rStyle w:val="FootnoteReference"/>
          <w:lang w:val="sr-Latn-RS"/>
        </w:rPr>
        <w:footnoteReference w:id="11"/>
      </w:r>
      <w:r w:rsidRPr="001E4CDF">
        <w:rPr>
          <w:lang w:val="sr-Latn-RS"/>
        </w:rPr>
        <w:t xml:space="preserve"> čije se odobravanje vrši na isti način kao za prvobitni budžet pa su stoga transparentni.  Prvobitni budžet iz 2013 je iznosio RSD 430,3 miliona a prvi rebalans je iznosio RSD 406,9 miliona a drugi rebalans RSD 317,8 miliona</w:t>
      </w:r>
    </w:p>
    <w:p w:rsidR="00AB26AC" w:rsidRDefault="00AB26AC">
      <w:pPr>
        <w:pStyle w:val="ParagraphNumbering"/>
        <w:numPr>
          <w:ilvl w:val="0"/>
          <w:numId w:val="0"/>
        </w:numPr>
        <w:spacing w:line="260" w:lineRule="auto"/>
        <w:rPr>
          <w:lang w:val="sr-Latn-RS"/>
        </w:rPr>
      </w:pPr>
    </w:p>
    <w:p w:rsidR="00AB26AC" w:rsidRPr="001E4CDF" w:rsidRDefault="00AB26AC">
      <w:pPr>
        <w:pStyle w:val="ParagraphNumbering"/>
        <w:numPr>
          <w:ilvl w:val="0"/>
          <w:numId w:val="0"/>
        </w:numPr>
        <w:spacing w:line="260" w:lineRule="auto"/>
        <w:rPr>
          <w:lang w:val="sr-Latn-RS"/>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647"/>
        <w:gridCol w:w="2410"/>
        <w:gridCol w:w="2899"/>
      </w:tblGrid>
      <w:tr w:rsidR="00261842" w:rsidRPr="00C03E15" w:rsidTr="00C03E15">
        <w:tc>
          <w:tcPr>
            <w:tcW w:w="1949" w:type="dxa"/>
          </w:tcPr>
          <w:p w:rsidR="00261842" w:rsidRPr="00C03E15" w:rsidRDefault="00261842" w:rsidP="00C03E15">
            <w:pPr>
              <w:pStyle w:val="ParagraphNumbering"/>
              <w:numPr>
                <w:ilvl w:val="0"/>
                <w:numId w:val="0"/>
              </w:numPr>
              <w:spacing w:after="0" w:line="240" w:lineRule="auto"/>
              <w:jc w:val="center"/>
              <w:rPr>
                <w:lang w:val="sr-Latn-RS"/>
              </w:rPr>
            </w:pPr>
          </w:p>
        </w:tc>
        <w:tc>
          <w:tcPr>
            <w:tcW w:w="7956" w:type="dxa"/>
            <w:gridSpan w:val="3"/>
          </w:tcPr>
          <w:p w:rsidR="00261842" w:rsidRPr="00C03E15" w:rsidRDefault="00261842" w:rsidP="00C03E15">
            <w:pPr>
              <w:pStyle w:val="ParagraphNumbering"/>
              <w:numPr>
                <w:ilvl w:val="0"/>
                <w:numId w:val="0"/>
              </w:numPr>
              <w:spacing w:after="0" w:line="240" w:lineRule="auto"/>
              <w:jc w:val="center"/>
              <w:rPr>
                <w:lang w:val="sr-Latn-RS"/>
              </w:rPr>
            </w:pPr>
            <w:r w:rsidRPr="00C03E15">
              <w:rPr>
                <w:lang w:val="sr-Latn-RS"/>
              </w:rPr>
              <w:t>Broj i datumi rebalansa</w:t>
            </w:r>
          </w:p>
        </w:tc>
      </w:tr>
      <w:tr w:rsidR="00261842" w:rsidRPr="00C03E15" w:rsidTr="00C03E15">
        <w:tc>
          <w:tcPr>
            <w:tcW w:w="1949"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Budžet za 2011.</w:t>
            </w:r>
          </w:p>
        </w:tc>
        <w:tc>
          <w:tcPr>
            <w:tcW w:w="2647"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27. septembar 2011.</w:t>
            </w:r>
          </w:p>
        </w:tc>
        <w:tc>
          <w:tcPr>
            <w:tcW w:w="2410" w:type="dxa"/>
          </w:tcPr>
          <w:p w:rsidR="00261842" w:rsidRPr="00C03E15" w:rsidRDefault="00AB26AC" w:rsidP="00C03E15">
            <w:pPr>
              <w:pStyle w:val="ParagraphNumbering"/>
              <w:numPr>
                <w:ilvl w:val="0"/>
                <w:numId w:val="0"/>
              </w:numPr>
              <w:spacing w:after="0" w:line="240" w:lineRule="auto"/>
              <w:rPr>
                <w:lang w:val="sr-Latn-RS"/>
              </w:rPr>
            </w:pPr>
            <w:r w:rsidRPr="00C03E15">
              <w:rPr>
                <w:lang w:val="sr-Latn-RS"/>
              </w:rPr>
              <w:t>27. decembar 2011.</w:t>
            </w:r>
          </w:p>
        </w:tc>
        <w:tc>
          <w:tcPr>
            <w:tcW w:w="2899" w:type="dxa"/>
          </w:tcPr>
          <w:p w:rsidR="00261842" w:rsidRPr="00C03E15" w:rsidRDefault="00261842" w:rsidP="00C03E15">
            <w:pPr>
              <w:pStyle w:val="ParagraphNumbering"/>
              <w:numPr>
                <w:ilvl w:val="0"/>
                <w:numId w:val="0"/>
              </w:numPr>
              <w:spacing w:after="0" w:line="240" w:lineRule="auto"/>
              <w:rPr>
                <w:lang w:val="sr-Latn-RS"/>
              </w:rPr>
            </w:pPr>
          </w:p>
        </w:tc>
      </w:tr>
      <w:tr w:rsidR="00261842" w:rsidRPr="00C03E15" w:rsidTr="00C03E15">
        <w:tc>
          <w:tcPr>
            <w:tcW w:w="1949"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 xml:space="preserve">Budžet za 2012. </w:t>
            </w:r>
          </w:p>
        </w:tc>
        <w:tc>
          <w:tcPr>
            <w:tcW w:w="2647" w:type="dxa"/>
          </w:tcPr>
          <w:p w:rsidR="00261842" w:rsidRPr="00C03E15" w:rsidRDefault="00AB26AC" w:rsidP="00C03E15">
            <w:pPr>
              <w:pStyle w:val="ParagraphNumbering"/>
              <w:numPr>
                <w:ilvl w:val="0"/>
                <w:numId w:val="0"/>
              </w:numPr>
              <w:spacing w:after="0" w:line="240" w:lineRule="auto"/>
              <w:rPr>
                <w:lang w:val="sr-Latn-RS"/>
              </w:rPr>
            </w:pPr>
            <w:r w:rsidRPr="00C03E15">
              <w:rPr>
                <w:lang w:val="sr-Latn-RS"/>
              </w:rPr>
              <w:t>9. mart 2012.</w:t>
            </w:r>
          </w:p>
        </w:tc>
        <w:tc>
          <w:tcPr>
            <w:tcW w:w="2410" w:type="dxa"/>
          </w:tcPr>
          <w:p w:rsidR="00261842" w:rsidRPr="00C03E15" w:rsidRDefault="00AB26AC" w:rsidP="00C03E15">
            <w:pPr>
              <w:pStyle w:val="ParagraphNumbering"/>
              <w:numPr>
                <w:ilvl w:val="0"/>
                <w:numId w:val="0"/>
              </w:numPr>
              <w:spacing w:after="0" w:line="240" w:lineRule="auto"/>
              <w:rPr>
                <w:lang w:val="sr-Latn-RS"/>
              </w:rPr>
            </w:pPr>
            <w:r w:rsidRPr="00C03E15">
              <w:rPr>
                <w:lang w:val="sr-Latn-RS"/>
              </w:rPr>
              <w:t>13. avgust 2012.</w:t>
            </w:r>
          </w:p>
        </w:tc>
        <w:tc>
          <w:tcPr>
            <w:tcW w:w="2899" w:type="dxa"/>
          </w:tcPr>
          <w:p w:rsidR="00261842" w:rsidRPr="00C03E15" w:rsidRDefault="00AB26AC" w:rsidP="00C03E15">
            <w:pPr>
              <w:pStyle w:val="ParagraphNumbering"/>
              <w:numPr>
                <w:ilvl w:val="0"/>
                <w:numId w:val="0"/>
              </w:numPr>
              <w:spacing w:after="0" w:line="240" w:lineRule="auto"/>
              <w:rPr>
                <w:lang w:val="sr-Latn-RS"/>
              </w:rPr>
            </w:pPr>
            <w:r w:rsidRPr="00C03E15">
              <w:rPr>
                <w:lang w:val="sr-Latn-RS"/>
              </w:rPr>
              <w:t>12. novembar 2012.</w:t>
            </w:r>
          </w:p>
        </w:tc>
      </w:tr>
      <w:tr w:rsidR="00261842" w:rsidRPr="00C03E15" w:rsidTr="00C03E15">
        <w:tc>
          <w:tcPr>
            <w:tcW w:w="1949"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Budžet za 2013.</w:t>
            </w:r>
          </w:p>
        </w:tc>
        <w:tc>
          <w:tcPr>
            <w:tcW w:w="2647" w:type="dxa"/>
          </w:tcPr>
          <w:p w:rsidR="00261842" w:rsidRPr="00C03E15" w:rsidRDefault="00AB26AC" w:rsidP="00C03E15">
            <w:pPr>
              <w:pStyle w:val="ParagraphNumbering"/>
              <w:numPr>
                <w:ilvl w:val="0"/>
                <w:numId w:val="0"/>
              </w:numPr>
              <w:spacing w:after="0" w:line="240" w:lineRule="auto"/>
              <w:rPr>
                <w:lang w:val="sr-Latn-RS"/>
              </w:rPr>
            </w:pPr>
            <w:r w:rsidRPr="00C03E15">
              <w:rPr>
                <w:lang w:val="sr-Latn-RS"/>
              </w:rPr>
              <w:t>26. septembar 2013.</w:t>
            </w:r>
          </w:p>
        </w:tc>
        <w:tc>
          <w:tcPr>
            <w:tcW w:w="241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25. decembar 2013.</w:t>
            </w:r>
          </w:p>
        </w:tc>
        <w:tc>
          <w:tcPr>
            <w:tcW w:w="2899" w:type="dxa"/>
          </w:tcPr>
          <w:p w:rsidR="00261842" w:rsidRPr="00C03E15" w:rsidRDefault="00261842" w:rsidP="00C03E15">
            <w:pPr>
              <w:pStyle w:val="ParagraphNumbering"/>
              <w:numPr>
                <w:ilvl w:val="0"/>
                <w:numId w:val="0"/>
              </w:numPr>
              <w:spacing w:after="0" w:line="240" w:lineRule="auto"/>
              <w:rPr>
                <w:lang w:val="sr-Latn-RS"/>
              </w:rPr>
            </w:pPr>
          </w:p>
        </w:tc>
      </w:tr>
    </w:tbl>
    <w:p w:rsidR="00261842" w:rsidRPr="001E4CDF" w:rsidRDefault="00261842">
      <w:pPr>
        <w:pStyle w:val="ParagraphNumbering"/>
        <w:numPr>
          <w:ilvl w:val="0"/>
          <w:numId w:val="0"/>
        </w:numPr>
        <w:rPr>
          <w:lang w:val="sr-Latn-RS"/>
        </w:rPr>
      </w:pPr>
    </w:p>
    <w:p w:rsidR="00261842" w:rsidRPr="001E4CDF" w:rsidRDefault="00261842">
      <w:pPr>
        <w:pStyle w:val="ParagraphNumbering"/>
        <w:numPr>
          <w:ilvl w:val="0"/>
          <w:numId w:val="0"/>
        </w:numPr>
        <w:spacing w:line="260" w:lineRule="auto"/>
        <w:rPr>
          <w:lang w:val="sr-Latn-RS"/>
        </w:rPr>
      </w:pPr>
      <w:proofErr w:type="spellStart"/>
      <w:r w:rsidRPr="001E4CDF">
        <w:rPr>
          <w:lang w:val="sr-Latn-RS"/>
        </w:rPr>
        <w:t>Rebalansi</w:t>
      </w:r>
      <w:proofErr w:type="spellEnd"/>
      <w:r w:rsidRPr="001E4CDF">
        <w:rPr>
          <w:lang w:val="sr-Latn-RS"/>
        </w:rPr>
        <w:t xml:space="preserve"> su izvršeni po dva puta u dve od poslednje tri godine i tri puta u toku jedne godine.  Ocena A</w:t>
      </w:r>
    </w:p>
    <w:p w:rsidR="00261842" w:rsidRPr="001E4CDF" w:rsidRDefault="00261842">
      <w:pPr>
        <w:spacing w:line="260" w:lineRule="auto"/>
        <w:rPr>
          <w:b/>
          <w:szCs w:val="24"/>
          <w:lang w:val="sr-Latn-RS"/>
        </w:rPr>
      </w:pPr>
      <w:r w:rsidRPr="001E4CDF">
        <w:rPr>
          <w:b/>
          <w:sz w:val="20"/>
          <w:szCs w:val="24"/>
          <w:lang w:val="sr-Latn-RS"/>
        </w:rPr>
        <w:t xml:space="preserve">PU-17. </w:t>
      </w:r>
      <w:r w:rsidRPr="001E4CDF">
        <w:rPr>
          <w:b/>
          <w:color w:val="000000"/>
          <w:sz w:val="22"/>
          <w:szCs w:val="24"/>
          <w:lang w:val="sr-Latn-RS"/>
        </w:rPr>
        <w:t>Evidencija i upravljanje stanjem gotovine, dugom i garancijama</w:t>
      </w:r>
    </w:p>
    <w:p w:rsidR="00261842" w:rsidRPr="001E4CDF" w:rsidRDefault="00261842">
      <w:pPr>
        <w:rPr>
          <w:szCs w:val="24"/>
          <w:lang w:val="sr-Latn-RS"/>
        </w:rPr>
      </w:pPr>
    </w:p>
    <w:tbl>
      <w:tblPr>
        <w:tblW w:w="8976" w:type="dxa"/>
        <w:tblInd w:w="63" w:type="dxa"/>
        <w:tblLayout w:type="fixed"/>
        <w:tblLook w:val="0000" w:firstRow="0" w:lastRow="0" w:firstColumn="0" w:lastColumn="0" w:noHBand="0" w:noVBand="0"/>
      </w:tblPr>
      <w:tblGrid>
        <w:gridCol w:w="2880"/>
        <w:gridCol w:w="992"/>
        <w:gridCol w:w="5104"/>
      </w:tblGrid>
      <w:tr w:rsidR="00261842" w:rsidRPr="00025057">
        <w:trPr>
          <w:trHeight w:val="293"/>
        </w:trPr>
        <w:tc>
          <w:tcPr>
            <w:tcW w:w="2880"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6096" w:type="dxa"/>
            <w:gridSpan w:val="2"/>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M2)</w:t>
            </w:r>
          </w:p>
        </w:tc>
      </w:tr>
      <w:tr w:rsidR="00261842" w:rsidRPr="00C03E15">
        <w:trPr>
          <w:trHeight w:val="252"/>
        </w:trPr>
        <w:tc>
          <w:tcPr>
            <w:tcW w:w="2880"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992"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color w:val="000000"/>
                <w:sz w:val="20"/>
                <w:szCs w:val="24"/>
                <w:lang w:val="sr-Latn-RS"/>
              </w:rPr>
            </w:pPr>
            <w:r w:rsidRPr="00C03E15">
              <w:rPr>
                <w:color w:val="000000"/>
                <w:sz w:val="20"/>
                <w:szCs w:val="24"/>
                <w:lang w:val="sr-Latn-RS"/>
              </w:rPr>
              <w:t>2014</w:t>
            </w:r>
          </w:p>
        </w:tc>
        <w:tc>
          <w:tcPr>
            <w:tcW w:w="5104"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Objašnjenje</w:t>
            </w:r>
          </w:p>
        </w:tc>
      </w:tr>
      <w:tr w:rsidR="00261842" w:rsidRPr="001E4CDF">
        <w:trPr>
          <w:trHeight w:val="252"/>
        </w:trPr>
        <w:tc>
          <w:tcPr>
            <w:tcW w:w="2880" w:type="dxa"/>
            <w:tcBorders>
              <w:top w:val="single" w:sz="8" w:space="0" w:color="000000"/>
              <w:lef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b/>
                <w:sz w:val="20"/>
                <w:szCs w:val="24"/>
                <w:lang w:val="sr-Latn-RS"/>
              </w:rPr>
              <w:t xml:space="preserve">PU-17. </w:t>
            </w:r>
            <w:r w:rsidRPr="00C03E15">
              <w:rPr>
                <w:b/>
                <w:color w:val="000000"/>
                <w:sz w:val="22"/>
                <w:szCs w:val="24"/>
                <w:lang w:val="sr-Latn-RS"/>
              </w:rPr>
              <w:t>Evidencija i upravljanje stanjem gotovine, dugom i garancijama</w:t>
            </w: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b/>
                <w:color w:val="000000"/>
                <w:sz w:val="20"/>
                <w:szCs w:val="24"/>
                <w:lang w:val="sr-Latn-RS"/>
              </w:rPr>
              <w:t>Ocena A</w:t>
            </w:r>
          </w:p>
        </w:tc>
        <w:tc>
          <w:tcPr>
            <w:tcW w:w="5104" w:type="dxa"/>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tabs>
                <w:tab w:val="num" w:pos="720"/>
                <w:tab w:val="num" w:pos="1146"/>
              </w:tabs>
              <w:suppressAutoHyphens/>
              <w:autoSpaceDE w:val="0"/>
              <w:adjustRightInd w:val="0"/>
              <w:snapToGrid w:val="0"/>
              <w:spacing w:line="240" w:lineRule="auto"/>
              <w:textAlignment w:val="baseline"/>
              <w:rPr>
                <w:rFonts w:ascii="Arial" w:hAnsi="Arial"/>
                <w:color w:val="000000"/>
                <w:sz w:val="20"/>
                <w:szCs w:val="24"/>
                <w:lang w:val="sr-Latn-RS"/>
              </w:rPr>
            </w:pPr>
          </w:p>
        </w:tc>
      </w:tr>
      <w:tr w:rsidR="00261842" w:rsidRPr="00025057">
        <w:trPr>
          <w:trHeight w:val="252"/>
        </w:trPr>
        <w:tc>
          <w:tcPr>
            <w:tcW w:w="2880" w:type="dxa"/>
            <w:tcBorders>
              <w:top w:val="single" w:sz="8" w:space="0" w:color="000000"/>
              <w:lef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(i) Kvalitet evidentiranja i izveštavanja o dugu</w:t>
            </w: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A</w:t>
            </w:r>
          </w:p>
        </w:tc>
        <w:tc>
          <w:tcPr>
            <w:tcW w:w="510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Evidencija o domaćem i inostranom dugu je kompletna, ažurira se i sravnjuje na mesečnoj bazi sa podacima za koje se smatra da se visokog integriteta. Sveobuhvatno izveštaji o upravljanju i statistički izveštaji (obuhvataju servisiranje duga, stanje duga i operacije) izrađuju se najmanje </w:t>
            </w:r>
            <w:proofErr w:type="spellStart"/>
            <w:r w:rsidRPr="00C03E15">
              <w:rPr>
                <w:color w:val="000000"/>
                <w:sz w:val="20"/>
                <w:szCs w:val="24"/>
                <w:lang w:val="sr-Latn-RS"/>
              </w:rPr>
              <w:t>kvartalno</w:t>
            </w:r>
            <w:proofErr w:type="spellEnd"/>
            <w:r w:rsidRPr="00C03E15">
              <w:rPr>
                <w:color w:val="000000"/>
                <w:sz w:val="20"/>
                <w:szCs w:val="24"/>
                <w:lang w:val="sr-Latn-RS"/>
              </w:rPr>
              <w:t>.</w:t>
            </w:r>
          </w:p>
        </w:tc>
      </w:tr>
      <w:tr w:rsidR="00261842" w:rsidRPr="00025057">
        <w:trPr>
          <w:trHeight w:val="252"/>
        </w:trPr>
        <w:tc>
          <w:tcPr>
            <w:tcW w:w="2880" w:type="dxa"/>
            <w:tcBorders>
              <w:top w:val="single" w:sz="8" w:space="0" w:color="000000"/>
              <w:left w:val="single" w:sz="8" w:space="0" w:color="000000"/>
              <w:bottom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Obim konsolidacije gotovinskih sredstava opštine</w:t>
            </w: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A</w:t>
            </w:r>
          </w:p>
        </w:tc>
        <w:tc>
          <w:tcPr>
            <w:tcW w:w="510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Stanja na svim računima se obračunavaju dnevno i konsoliduju.</w:t>
            </w:r>
          </w:p>
        </w:tc>
      </w:tr>
      <w:tr w:rsidR="00261842" w:rsidRPr="00025057">
        <w:trPr>
          <w:trHeight w:val="252"/>
        </w:trPr>
        <w:tc>
          <w:tcPr>
            <w:tcW w:w="2880" w:type="dxa"/>
            <w:tcBorders>
              <w:top w:val="single" w:sz="4" w:space="0" w:color="auto"/>
              <w:left w:val="single" w:sz="4" w:space="0" w:color="auto"/>
              <w:bottom w:val="single" w:sz="4" w:space="0" w:color="auto"/>
              <w:right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Sistemi za ugovaranje zajmova i izdavanje garancija</w:t>
            </w:r>
          </w:p>
        </w:tc>
        <w:tc>
          <w:tcPr>
            <w:tcW w:w="99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B</w:t>
            </w:r>
          </w:p>
        </w:tc>
        <w:tc>
          <w:tcPr>
            <w:tcW w:w="510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Ugovaranje zajmova i izdavanje garancija od strane centralne vlade je u okvirima ukupnog duga i ukupnih garancija i uvek ih odobrava jedan nadležni vladin organ.</w:t>
            </w:r>
          </w:p>
        </w:tc>
      </w:tr>
    </w:tbl>
    <w:p w:rsidR="00261842" w:rsidRPr="001E4CDF" w:rsidRDefault="00261842">
      <w:pPr>
        <w:tabs>
          <w:tab w:val="num" w:pos="720"/>
          <w:tab w:val="num" w:pos="1146"/>
        </w:tabs>
        <w:rPr>
          <w:b/>
          <w:szCs w:val="24"/>
          <w:lang w:val="sr-Latn-RS"/>
        </w:rPr>
      </w:pPr>
    </w:p>
    <w:p w:rsidR="00261842" w:rsidRDefault="00261842" w:rsidP="00AB26AC">
      <w:pPr>
        <w:pStyle w:val="ParagraphNumbering"/>
        <w:numPr>
          <w:ilvl w:val="0"/>
          <w:numId w:val="0"/>
        </w:numPr>
        <w:spacing w:line="260" w:lineRule="auto"/>
        <w:jc w:val="both"/>
        <w:rPr>
          <w:lang w:val="sr-Latn-RS"/>
        </w:rPr>
      </w:pPr>
      <w:r w:rsidRPr="001E4CDF">
        <w:rPr>
          <w:lang w:val="sr-Latn-RS"/>
        </w:rPr>
        <w:t xml:space="preserve">Efikasno upravljanje dugom i garancijama na dug je suštinska komponenta fiskalnog upravljanja. Loše upravljanje dugom i garancijama može stvoriti nepotrebno velike troškove servisiranja duga. Što se tiče efikasnog upravljanja gotovinom, važan uslov za izbegavanje nepotrebnih troškova zaduživanja i kamata je da su stanja na svim bankovnim računima identifikovana i konsolidovana (uključujući i one za </w:t>
      </w:r>
      <w:proofErr w:type="spellStart"/>
      <w:r w:rsidRPr="001E4CDF">
        <w:rPr>
          <w:lang w:val="sr-Latn-RS"/>
        </w:rPr>
        <w:t>vanbudžetske</w:t>
      </w:r>
      <w:proofErr w:type="spellEnd"/>
      <w:r w:rsidRPr="001E4CDF">
        <w:rPr>
          <w:lang w:val="sr-Latn-RS"/>
        </w:rPr>
        <w:t xml:space="preserve"> fondove i račune donatorskih projekata koje kontroliše opština).  </w:t>
      </w:r>
    </w:p>
    <w:p w:rsidR="00AB26AC" w:rsidRPr="001E4CDF" w:rsidRDefault="00AB26AC" w:rsidP="00AB26AC">
      <w:pPr>
        <w:pStyle w:val="ParagraphNumbering"/>
        <w:numPr>
          <w:ilvl w:val="0"/>
          <w:numId w:val="0"/>
        </w:numPr>
        <w:spacing w:line="260" w:lineRule="auto"/>
        <w:jc w:val="both"/>
        <w:rPr>
          <w:lang w:val="sr-Latn-RS"/>
        </w:rPr>
      </w:pP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(i) Kvalitet evidentiranja i izveštavanja o dugu</w:t>
      </w:r>
    </w:p>
    <w:p w:rsidR="00261842" w:rsidRPr="00003053" w:rsidRDefault="00261842">
      <w:pPr>
        <w:tabs>
          <w:tab w:val="num" w:pos="720"/>
          <w:tab w:val="num" w:pos="1146"/>
        </w:tabs>
        <w:spacing w:after="120" w:line="260" w:lineRule="auto"/>
        <w:jc w:val="both"/>
        <w:rPr>
          <w:szCs w:val="24"/>
          <w:lang w:val="sr-Latn-RS"/>
        </w:rPr>
      </w:pPr>
      <w:r w:rsidRPr="00003053">
        <w:rPr>
          <w:szCs w:val="24"/>
          <w:lang w:val="sr-Latn-RS"/>
        </w:rPr>
        <w:t xml:space="preserve">Otplata duga se evidentira kao ekonomska kategorija u računovodstvenom sistemu i prati kao deo mesečnog procesa izveštavanja.  Kvalitet evidentiranja i izveštavanja zadovoljava </w:t>
      </w:r>
      <w:r w:rsidRPr="00003053">
        <w:rPr>
          <w:szCs w:val="24"/>
          <w:lang w:val="sr-Latn-RS"/>
        </w:rPr>
        <w:lastRenderedPageBreak/>
        <w:t>standarde i postoji mesečni izveštaj prema Upravi za javni dug (MF) o nivou otplate kamate i glavnice.  Trenutno opština ima dva zajma</w:t>
      </w:r>
      <w:r w:rsidRPr="00003053">
        <w:rPr>
          <w:rStyle w:val="FootnoteReference"/>
          <w:szCs w:val="24"/>
          <w:lang w:val="sr-Latn-RS"/>
        </w:rPr>
        <w:footnoteReference w:id="12"/>
      </w:r>
      <w:r w:rsidRPr="00003053">
        <w:rPr>
          <w:szCs w:val="24"/>
          <w:lang w:val="sr-Latn-RS"/>
        </w:rPr>
        <w:t xml:space="preserve"> ugovorena u 2011. sa Fondom za razvoj Republike Srbije u okviru mera Vlade za stimulaciju privrede.  Ugovoren je jednogodišnji grejs period a </w:t>
      </w:r>
      <w:proofErr w:type="spellStart"/>
      <w:r w:rsidRPr="00003053">
        <w:rPr>
          <w:szCs w:val="24"/>
          <w:lang w:val="sr-Latn-RS"/>
        </w:rPr>
        <w:t>kvartalna</w:t>
      </w:r>
      <w:proofErr w:type="spellEnd"/>
      <w:r w:rsidRPr="00003053">
        <w:rPr>
          <w:szCs w:val="24"/>
          <w:lang w:val="sr-Latn-RS"/>
        </w:rPr>
        <w:t xml:space="preserve"> otplata je počela u 2013. godini i trajaće pet godina. Dokumentacija koja se odnosi na ove kredite (otplata (kamate i glavnice) i ostatak duga) se čuva u posebnim predmetima.  </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Ocena A</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Obim konsolidacije gotovinskih sredstava opštine</w:t>
      </w:r>
    </w:p>
    <w:p w:rsidR="00261842" w:rsidRPr="001E4CDF" w:rsidRDefault="00261842">
      <w:pPr>
        <w:pStyle w:val="ParagraphNumbering"/>
        <w:numPr>
          <w:ilvl w:val="0"/>
          <w:numId w:val="0"/>
        </w:numPr>
        <w:spacing w:line="260" w:lineRule="auto"/>
        <w:rPr>
          <w:lang w:val="sr-Latn-RS"/>
        </w:rPr>
      </w:pPr>
      <w:r w:rsidRPr="001E4CDF">
        <w:rPr>
          <w:lang w:val="sr-Latn-RS"/>
        </w:rPr>
        <w:t xml:space="preserve">Opštinska sredstva su deo konsolidovanog računa trezora, sa svojim posebnim računom i </w:t>
      </w:r>
      <w:proofErr w:type="spellStart"/>
      <w:r w:rsidRPr="001E4CDF">
        <w:rPr>
          <w:lang w:val="sr-Latn-RS"/>
        </w:rPr>
        <w:t>podračunima</w:t>
      </w:r>
      <w:proofErr w:type="spellEnd"/>
      <w:r w:rsidRPr="001E4CDF">
        <w:rPr>
          <w:lang w:val="sr-Latn-RS"/>
        </w:rPr>
        <w:t>.  Stanja na svim računima se konsoliduju i prate na dnevnoj osnovi.  Ocena A</w:t>
      </w:r>
    </w:p>
    <w:p w:rsidR="00261842" w:rsidRPr="001E4CDF" w:rsidRDefault="00261842">
      <w:pPr>
        <w:tabs>
          <w:tab w:val="num" w:pos="720"/>
          <w:tab w:val="num" w:pos="1146"/>
        </w:tabs>
        <w:spacing w:before="240" w:after="240" w:line="260" w:lineRule="auto"/>
        <w:rPr>
          <w:b/>
          <w:szCs w:val="24"/>
          <w:lang w:val="sr-Latn-RS"/>
        </w:rPr>
      </w:pPr>
      <w:r w:rsidRPr="001E4CDF">
        <w:rPr>
          <w:b/>
          <w:szCs w:val="24"/>
          <w:lang w:val="sr-Latn-RS"/>
        </w:rPr>
        <w:t>(</w:t>
      </w:r>
      <w:proofErr w:type="spellStart"/>
      <w:r w:rsidRPr="001E4CDF">
        <w:rPr>
          <w:b/>
          <w:szCs w:val="24"/>
          <w:lang w:val="sr-Latn-RS"/>
        </w:rPr>
        <w:t>iii</w:t>
      </w:r>
      <w:proofErr w:type="spellEnd"/>
      <w:r w:rsidRPr="001E4CDF">
        <w:rPr>
          <w:b/>
          <w:szCs w:val="24"/>
          <w:lang w:val="sr-Latn-RS"/>
        </w:rPr>
        <w:t>) Sistemi za ugovaranje zajmova i izdavanje garancija</w:t>
      </w:r>
    </w:p>
    <w:p w:rsidR="00261842" w:rsidRPr="00003053" w:rsidRDefault="00261842" w:rsidP="00003053">
      <w:pPr>
        <w:pStyle w:val="ParagraphNumbering"/>
        <w:numPr>
          <w:ilvl w:val="0"/>
          <w:numId w:val="0"/>
        </w:numPr>
        <w:spacing w:line="260" w:lineRule="auto"/>
        <w:jc w:val="both"/>
        <w:rPr>
          <w:lang w:val="sr-Latn-RS"/>
        </w:rPr>
      </w:pPr>
      <w:r w:rsidRPr="00003053">
        <w:rPr>
          <w:lang w:val="sr-Latn-RS"/>
        </w:rPr>
        <w:t xml:space="preserve">U skladu sa Zakonom o javnom dugu (“Službeni glasnik RS”, br. 61/05) i Zakonom o budžetskom sistemu, opština mora da traži odobrenje za zaduživanje od Ministarstva finansija.  Zakon o javnom dugu propisuje da opština može da se zadužuje do nivoa od 50% izvršenog budžeta iz prethodne godine ili 25% </w:t>
      </w:r>
      <w:proofErr w:type="spellStart"/>
      <w:r w:rsidRPr="00003053">
        <w:rPr>
          <w:lang w:val="sr-Latn-RS"/>
        </w:rPr>
        <w:t>nenamenstkih</w:t>
      </w:r>
      <w:proofErr w:type="spellEnd"/>
      <w:r w:rsidRPr="00003053">
        <w:rPr>
          <w:lang w:val="sr-Latn-RS"/>
        </w:rPr>
        <w:t xml:space="preserve"> transfera centralnog nivoa vlasti.  Zakon o javnom dugu propisuje da opština može da se zadužuje do nivoa od 50% izvršenog budžeta iz prethodne godine ili 25% </w:t>
      </w:r>
      <w:proofErr w:type="spellStart"/>
      <w:r w:rsidRPr="00003053">
        <w:rPr>
          <w:lang w:val="sr-Latn-RS"/>
        </w:rPr>
        <w:t>nenamenstkih</w:t>
      </w:r>
      <w:proofErr w:type="spellEnd"/>
      <w:r w:rsidRPr="00003053">
        <w:rPr>
          <w:lang w:val="sr-Latn-RS"/>
        </w:rPr>
        <w:t xml:space="preserve"> transfera centralnog nivoa vlasti.  U skladu sa PU-12 (i) ne postoje fiskalni ciljevi, što utiče na smanjenje ocene.</w:t>
      </w:r>
    </w:p>
    <w:p w:rsidR="00261842" w:rsidRPr="001E4CDF" w:rsidRDefault="00261842">
      <w:pPr>
        <w:pStyle w:val="ParagraphNumbering"/>
        <w:numPr>
          <w:ilvl w:val="0"/>
          <w:numId w:val="0"/>
        </w:numPr>
        <w:spacing w:line="260" w:lineRule="auto"/>
        <w:rPr>
          <w:lang w:val="sr-Latn-RS"/>
        </w:rPr>
      </w:pPr>
      <w:r w:rsidRPr="001E4CDF">
        <w:rPr>
          <w:lang w:val="sr-Latn-RS"/>
        </w:rPr>
        <w:t>Ocena B</w:t>
      </w:r>
    </w:p>
    <w:p w:rsidR="00261842" w:rsidRPr="001E4CDF" w:rsidRDefault="00261842">
      <w:pPr>
        <w:spacing w:line="260" w:lineRule="auto"/>
        <w:rPr>
          <w:b/>
          <w:szCs w:val="24"/>
          <w:lang w:val="sr-Latn-RS"/>
        </w:rPr>
      </w:pPr>
      <w:r w:rsidRPr="001E4CDF">
        <w:rPr>
          <w:b/>
          <w:sz w:val="20"/>
          <w:szCs w:val="24"/>
          <w:lang w:val="sr-Latn-RS"/>
        </w:rPr>
        <w:t xml:space="preserve">PU-18 </w:t>
      </w:r>
      <w:r w:rsidRPr="001E4CDF">
        <w:rPr>
          <w:b/>
          <w:color w:val="000000"/>
          <w:sz w:val="22"/>
          <w:szCs w:val="24"/>
          <w:lang w:val="sr-Latn-RS"/>
        </w:rPr>
        <w:t>Efikasnost kontrole obračuna plata</w:t>
      </w:r>
    </w:p>
    <w:p w:rsidR="00261842" w:rsidRPr="001E4CDF" w:rsidRDefault="00261842">
      <w:pPr>
        <w:pStyle w:val="ParagraphNumbering"/>
        <w:numPr>
          <w:ilvl w:val="0"/>
          <w:numId w:val="0"/>
        </w:numPr>
        <w:rPr>
          <w:lang w:val="sr-Latn-RS"/>
        </w:rPr>
      </w:pPr>
    </w:p>
    <w:p w:rsidR="00261842" w:rsidRPr="001E4CDF" w:rsidRDefault="00261842">
      <w:pPr>
        <w:pStyle w:val="ParagraphNumbering"/>
        <w:numPr>
          <w:ilvl w:val="0"/>
          <w:numId w:val="0"/>
        </w:numPr>
        <w:spacing w:line="260" w:lineRule="auto"/>
        <w:rPr>
          <w:rFonts w:ascii="Arial" w:hAnsi="Arial"/>
          <w:color w:val="000000"/>
          <w:lang w:val="sr-Latn-RS"/>
        </w:rPr>
      </w:pPr>
      <w:r w:rsidRPr="001E4CDF">
        <w:rPr>
          <w:lang w:val="sr-Latn-RS"/>
        </w:rPr>
        <w:t>Ovaj indikator ocenjuje integritet kadrovske evidencije i efikasnosti procesa upravljanja ljudskim resursima i obradu platnih spiskova u Vladi</w:t>
      </w:r>
    </w:p>
    <w:tbl>
      <w:tblPr>
        <w:tblW w:w="8931" w:type="dxa"/>
        <w:tblInd w:w="108" w:type="dxa"/>
        <w:tblLayout w:type="fixed"/>
        <w:tblLook w:val="0000" w:firstRow="0" w:lastRow="0" w:firstColumn="0" w:lastColumn="0" w:noHBand="0" w:noVBand="0"/>
      </w:tblPr>
      <w:tblGrid>
        <w:gridCol w:w="2977"/>
        <w:gridCol w:w="1134"/>
        <w:gridCol w:w="4820"/>
      </w:tblGrid>
      <w:tr w:rsidR="00261842" w:rsidRPr="00025057">
        <w:trPr>
          <w:trHeight w:val="293"/>
        </w:trPr>
        <w:tc>
          <w:tcPr>
            <w:tcW w:w="2977"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5954" w:type="dxa"/>
            <w:gridSpan w:val="2"/>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2977" w:type="dxa"/>
            <w:tcBorders>
              <w:top w:val="single" w:sz="8" w:space="0" w:color="000000"/>
              <w:left w:val="single" w:sz="8" w:space="0" w:color="000000"/>
              <w:bottom w:val="single" w:sz="8" w:space="0" w:color="000000"/>
              <w:right w:val="single" w:sz="8" w:space="0" w:color="000000"/>
            </w:tcBorders>
            <w:shd w:val="clear" w:color="auto" w:fill="D2EFFF"/>
          </w:tcPr>
          <w:p w:rsidR="00261842" w:rsidRPr="001E4CDF" w:rsidRDefault="00261842">
            <w:pPr>
              <w:widowControl w:val="0"/>
              <w:suppressAutoHyphens/>
              <w:autoSpaceDE w:val="0"/>
              <w:adjustRightInd w:val="0"/>
              <w:snapToGrid w:val="0"/>
              <w:spacing w:line="240" w:lineRule="auto"/>
              <w:textAlignment w:val="baseline"/>
              <w:rPr>
                <w:rFonts w:ascii="Arial" w:hAnsi="Arial"/>
                <w:color w:val="000000"/>
                <w:sz w:val="20"/>
                <w:szCs w:val="24"/>
                <w:lang w:val="sr-Latn-RS"/>
              </w:rPr>
            </w:pPr>
          </w:p>
        </w:tc>
        <w:tc>
          <w:tcPr>
            <w:tcW w:w="1134"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color w:val="000000"/>
                <w:sz w:val="20"/>
                <w:szCs w:val="24"/>
                <w:lang w:val="sr-Latn-RS"/>
              </w:rPr>
            </w:pPr>
            <w:r w:rsidRPr="00C03E15">
              <w:rPr>
                <w:color w:val="000000"/>
                <w:sz w:val="20"/>
                <w:szCs w:val="24"/>
                <w:lang w:val="sr-Latn-RS"/>
              </w:rPr>
              <w:t>2014</w:t>
            </w:r>
          </w:p>
        </w:tc>
        <w:tc>
          <w:tcPr>
            <w:tcW w:w="4820"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Objašnjenje</w:t>
            </w:r>
          </w:p>
        </w:tc>
      </w:tr>
      <w:tr w:rsidR="00261842" w:rsidRPr="001E4CDF">
        <w:trPr>
          <w:trHeight w:val="252"/>
        </w:trPr>
        <w:tc>
          <w:tcPr>
            <w:tcW w:w="2977"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b/>
                <w:sz w:val="20"/>
                <w:szCs w:val="24"/>
                <w:lang w:val="sr-Latn-RS"/>
              </w:rPr>
              <w:t xml:space="preserve">PU-18 </w:t>
            </w:r>
            <w:r w:rsidRPr="00C03E15">
              <w:rPr>
                <w:b/>
                <w:color w:val="000000"/>
                <w:sz w:val="22"/>
                <w:szCs w:val="24"/>
                <w:lang w:val="sr-Latn-RS"/>
              </w:rPr>
              <w:t xml:space="preserve">Efikasnost kontrole </w:t>
            </w:r>
            <w:r w:rsidRPr="00C03E15">
              <w:rPr>
                <w:b/>
                <w:color w:val="000000"/>
                <w:sz w:val="22"/>
                <w:szCs w:val="24"/>
                <w:lang w:val="sr-Latn-RS"/>
              </w:rPr>
              <w:lastRenderedPageBreak/>
              <w:t>obračuna plata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b/>
                <w:color w:val="000000"/>
                <w:sz w:val="20"/>
                <w:szCs w:val="24"/>
                <w:lang w:val="sr-Latn-RS"/>
              </w:rPr>
              <w:lastRenderedPageBreak/>
              <w:t xml:space="preserve">Ocena D+ </w:t>
            </w:r>
          </w:p>
        </w:tc>
        <w:tc>
          <w:tcPr>
            <w:tcW w:w="4820" w:type="dxa"/>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suppressAutoHyphens/>
              <w:autoSpaceDE w:val="0"/>
              <w:adjustRightInd w:val="0"/>
              <w:snapToGrid w:val="0"/>
              <w:spacing w:line="240" w:lineRule="auto"/>
              <w:textAlignment w:val="baseline"/>
              <w:rPr>
                <w:rFonts w:ascii="Arial" w:hAnsi="Arial"/>
                <w:color w:val="000000"/>
                <w:sz w:val="20"/>
                <w:szCs w:val="24"/>
                <w:lang w:val="sr-Latn-RS"/>
              </w:rPr>
            </w:pPr>
          </w:p>
        </w:tc>
      </w:tr>
      <w:tr w:rsidR="00261842" w:rsidRPr="00025057">
        <w:trPr>
          <w:trHeight w:val="252"/>
        </w:trPr>
        <w:tc>
          <w:tcPr>
            <w:tcW w:w="2977"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0"/>
                <w:szCs w:val="24"/>
                <w:lang w:val="sr-Latn-RS"/>
              </w:rPr>
              <w:lastRenderedPageBreak/>
              <w:t xml:space="preserve">(i) Stepen </w:t>
            </w:r>
            <w:proofErr w:type="spellStart"/>
            <w:r w:rsidRPr="00C03E15">
              <w:rPr>
                <w:sz w:val="20"/>
                <w:szCs w:val="24"/>
                <w:lang w:val="sr-Latn-RS"/>
              </w:rPr>
              <w:t>integrisanosti</w:t>
            </w:r>
            <w:proofErr w:type="spellEnd"/>
            <w:r w:rsidRPr="00C03E15">
              <w:rPr>
                <w:sz w:val="20"/>
                <w:szCs w:val="24"/>
                <w:lang w:val="sr-Latn-RS"/>
              </w:rPr>
              <w:t xml:space="preserve"> i usklađenosti kadrovske evidencije i platnih spiskova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A</w:t>
            </w:r>
          </w:p>
        </w:tc>
        <w:tc>
          <w:tcPr>
            <w:tcW w:w="4820"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Baza podataka o zaposlenima i platni spiskovi su direktno povezani kako bi se osigurala konzistentnost i mesečno </w:t>
            </w:r>
            <w:proofErr w:type="spellStart"/>
            <w:r w:rsidRPr="00C03E15">
              <w:rPr>
                <w:color w:val="000000"/>
                <w:sz w:val="20"/>
                <w:szCs w:val="24"/>
                <w:lang w:val="sr-Latn-RS"/>
              </w:rPr>
              <w:t>sravnjenje</w:t>
            </w:r>
            <w:proofErr w:type="spellEnd"/>
            <w:r w:rsidRPr="00C03E15">
              <w:rPr>
                <w:color w:val="000000"/>
                <w:sz w:val="20"/>
                <w:szCs w:val="24"/>
                <w:lang w:val="sr-Latn-RS"/>
              </w:rPr>
              <w:t xml:space="preserve"> podataka.  </w:t>
            </w:r>
          </w:p>
        </w:tc>
      </w:tr>
      <w:tr w:rsidR="00261842" w:rsidRPr="00C03E15">
        <w:trPr>
          <w:trHeight w:val="252"/>
        </w:trPr>
        <w:tc>
          <w:tcPr>
            <w:tcW w:w="2977"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xml:space="preserve">) </w:t>
            </w:r>
            <w:proofErr w:type="spellStart"/>
            <w:r w:rsidRPr="00C03E15">
              <w:rPr>
                <w:sz w:val="20"/>
                <w:szCs w:val="24"/>
                <w:lang w:val="sr-Latn-RS"/>
              </w:rPr>
              <w:t>Blagovremenost</w:t>
            </w:r>
            <w:proofErr w:type="spellEnd"/>
            <w:r w:rsidRPr="00C03E15">
              <w:rPr>
                <w:sz w:val="20"/>
                <w:szCs w:val="24"/>
                <w:lang w:val="sr-Latn-RS"/>
              </w:rPr>
              <w:t xml:space="preserve"> izmena u kadrovskoj evidenciji i platnim spiskovima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A</w:t>
            </w:r>
          </w:p>
        </w:tc>
        <w:tc>
          <w:tcPr>
            <w:tcW w:w="4820"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Neophodne izmene u evidenciji o zaposlenima i platnim spiskovima ažuriraju se na mesečnoj osnovi, uglavnom na vreme za isplatu plata sledećeg meseca. Retroaktivna prilagođavanja su retka. </w:t>
            </w:r>
          </w:p>
        </w:tc>
      </w:tr>
      <w:tr w:rsidR="00261842" w:rsidRPr="00025057">
        <w:trPr>
          <w:trHeight w:val="252"/>
        </w:trPr>
        <w:tc>
          <w:tcPr>
            <w:tcW w:w="2977"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Interne kontrole izmene podataka u kadrovskoj evidenciji i platnim spiskovima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B</w:t>
            </w:r>
          </w:p>
        </w:tc>
        <w:tc>
          <w:tcPr>
            <w:tcW w:w="4820"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Nadležnost i osnova za vršenje izmena u kadrovskoj evidenciji i platnim spiskovima su jasno date.</w:t>
            </w:r>
          </w:p>
        </w:tc>
      </w:tr>
      <w:tr w:rsidR="00261842" w:rsidRPr="00025057">
        <w:trPr>
          <w:trHeight w:val="252"/>
        </w:trPr>
        <w:tc>
          <w:tcPr>
            <w:tcW w:w="2977"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iv</w:t>
            </w:r>
            <w:proofErr w:type="spellEnd"/>
            <w:r w:rsidRPr="00C03E15">
              <w:rPr>
                <w:sz w:val="20"/>
                <w:szCs w:val="24"/>
                <w:lang w:val="sr-Latn-RS"/>
              </w:rPr>
              <w:t>) Postojanje revizije obrade plata sa ciljem da se utvrde slabosti u kontroli i/ili nepostojeći radnici</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D</w:t>
            </w:r>
          </w:p>
        </w:tc>
        <w:tc>
          <w:tcPr>
            <w:tcW w:w="4820"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Revizija platne liste nije urađena u poslednje tri godine.</w:t>
            </w:r>
          </w:p>
        </w:tc>
      </w:tr>
    </w:tbl>
    <w:p w:rsidR="00261842" w:rsidRPr="001E4CDF" w:rsidRDefault="00261842">
      <w:pPr>
        <w:rPr>
          <w:b/>
          <w:szCs w:val="24"/>
          <w:lang w:val="sr-Latn-RS"/>
        </w:rPr>
      </w:pPr>
    </w:p>
    <w:p w:rsidR="00261842" w:rsidRPr="001E4CDF" w:rsidRDefault="00261842">
      <w:pPr>
        <w:spacing w:after="120" w:line="260" w:lineRule="auto"/>
        <w:jc w:val="both"/>
        <w:rPr>
          <w:b/>
          <w:szCs w:val="24"/>
          <w:lang w:val="sr-Latn-RS"/>
        </w:rPr>
      </w:pPr>
      <w:r w:rsidRPr="001E4CDF">
        <w:rPr>
          <w:b/>
          <w:szCs w:val="24"/>
          <w:lang w:val="sr-Latn-RS"/>
        </w:rPr>
        <w:t xml:space="preserve">(i) Stepen </w:t>
      </w:r>
      <w:proofErr w:type="spellStart"/>
      <w:r w:rsidRPr="001E4CDF">
        <w:rPr>
          <w:b/>
          <w:szCs w:val="24"/>
          <w:lang w:val="sr-Latn-RS"/>
        </w:rPr>
        <w:t>integrisanosti</w:t>
      </w:r>
      <w:proofErr w:type="spellEnd"/>
      <w:r w:rsidRPr="001E4CDF">
        <w:rPr>
          <w:b/>
          <w:szCs w:val="24"/>
          <w:lang w:val="sr-Latn-RS"/>
        </w:rPr>
        <w:t xml:space="preserve"> i usklađenosti kadrovske evidencije i platnih spiskova</w:t>
      </w:r>
    </w:p>
    <w:p w:rsidR="00C03E15" w:rsidRDefault="00261842">
      <w:pPr>
        <w:pStyle w:val="ParagraphNumbering"/>
        <w:numPr>
          <w:ilvl w:val="0"/>
          <w:numId w:val="0"/>
        </w:numPr>
        <w:spacing w:line="260" w:lineRule="auto"/>
        <w:jc w:val="both"/>
        <w:rPr>
          <w:lang w:val="sr-Latn-RS"/>
        </w:rPr>
      </w:pPr>
      <w:r w:rsidRPr="001E4CDF">
        <w:rPr>
          <w:lang w:val="sr-Latn-RS"/>
        </w:rPr>
        <w:t xml:space="preserve">Obračun plata i kadrovska evidencija zaposlenih u opštini se održavaju kao dva odvojena, ali povezana sistema: jedan za osoblje i jedan za platni spisak.  </w:t>
      </w:r>
      <w:r w:rsidR="00C03E15">
        <w:rPr>
          <w:lang w:val="sr-Latn-RS"/>
        </w:rPr>
        <w:t>Kadrovska evidencija nije kompjuterizovana i svaka izmena koja utiče na platni spisak odmah se unosi u platni spisak koji jeste kompjuterizovan.</w:t>
      </w:r>
      <w:r w:rsidRPr="001E4CDF">
        <w:rPr>
          <w:lang w:val="sr-Latn-RS"/>
        </w:rPr>
        <w:t xml:space="preserve">  Opština je takođe u potpunosti vlasnik javnog preduzeća (Direkcije) koje se bavi izgradnjom i održavanjem, a finansira se u celini iz budžeta.  Ovo javno preduzeće ima svoju kadrovsku evidenciju i obračun plata koji funkcioniše na sličan način kao kod Opštine. </w:t>
      </w:r>
      <w:r w:rsidR="00C03E15">
        <w:rPr>
          <w:lang w:val="sr-Latn-RS"/>
        </w:rPr>
        <w:t xml:space="preserve">Ukupan broj zaposlenih je mali i nema čestih izmena koje zahtevaju hitno </w:t>
      </w:r>
      <w:proofErr w:type="spellStart"/>
      <w:r w:rsidR="00C03E15">
        <w:rPr>
          <w:lang w:val="sr-Latn-RS"/>
        </w:rPr>
        <w:t>sravnjenje</w:t>
      </w:r>
      <w:proofErr w:type="spellEnd"/>
      <w:r w:rsidR="00C03E15">
        <w:rPr>
          <w:lang w:val="sr-Latn-RS"/>
        </w:rPr>
        <w:t>.</w:t>
      </w:r>
    </w:p>
    <w:p w:rsidR="00261842" w:rsidRPr="001E4CDF" w:rsidRDefault="00261842">
      <w:pPr>
        <w:pStyle w:val="ParagraphNumbering"/>
        <w:numPr>
          <w:ilvl w:val="0"/>
          <w:numId w:val="0"/>
        </w:numPr>
        <w:spacing w:line="260" w:lineRule="auto"/>
        <w:jc w:val="both"/>
        <w:rPr>
          <w:lang w:val="sr-Latn-RS"/>
        </w:rPr>
      </w:pPr>
      <w:r w:rsidRPr="001E4CDF">
        <w:rPr>
          <w:lang w:val="sr-Latn-RS"/>
        </w:rPr>
        <w:t>Ocena A</w:t>
      </w:r>
    </w:p>
    <w:p w:rsidR="00261842" w:rsidRPr="001E4CDF" w:rsidRDefault="00261842">
      <w:pPr>
        <w:spacing w:after="120" w:line="260" w:lineRule="auto"/>
        <w:jc w:val="both"/>
        <w:rPr>
          <w:b/>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xml:space="preserve">) </w:t>
      </w:r>
      <w:proofErr w:type="spellStart"/>
      <w:r w:rsidRPr="001E4CDF">
        <w:rPr>
          <w:b/>
          <w:szCs w:val="24"/>
          <w:lang w:val="sr-Latn-RS"/>
        </w:rPr>
        <w:t>Blagovremenost</w:t>
      </w:r>
      <w:proofErr w:type="spellEnd"/>
      <w:r w:rsidRPr="001E4CDF">
        <w:rPr>
          <w:b/>
          <w:szCs w:val="24"/>
          <w:lang w:val="sr-Latn-RS"/>
        </w:rPr>
        <w:t xml:space="preserve"> izmena u kadrovskoj evidenciji i platnim spiskovima</w:t>
      </w:r>
    </w:p>
    <w:p w:rsidR="00261842" w:rsidRPr="00003053" w:rsidRDefault="00261842">
      <w:pPr>
        <w:spacing w:after="120" w:line="260" w:lineRule="auto"/>
        <w:jc w:val="both"/>
        <w:rPr>
          <w:szCs w:val="24"/>
          <w:lang w:val="sr-Latn-RS"/>
        </w:rPr>
      </w:pPr>
      <w:r w:rsidRPr="00003053">
        <w:rPr>
          <w:szCs w:val="24"/>
          <w:lang w:val="sr-Latn-RS"/>
        </w:rPr>
        <w:t>Sve promene u evidenciji se vrše odmah po dobijanju novih informacije.  Na platnom spisku opštine je 46 zaposlenih, a tri osobe su zaposlene u Direkciji.  Sve informacije o fondu zarada (stalno i honorarno zaposlenih) koje dostavljaju administrativne jedinice se unose odmah po prijemu.  Isp</w:t>
      </w:r>
      <w:r w:rsidR="00003053">
        <w:rPr>
          <w:szCs w:val="24"/>
          <w:lang w:val="sr-Latn-RS"/>
        </w:rPr>
        <w:t>l</w:t>
      </w:r>
      <w:r w:rsidRPr="00003053">
        <w:rPr>
          <w:szCs w:val="24"/>
          <w:lang w:val="sr-Latn-RS"/>
        </w:rPr>
        <w:t>ata plata (samo za opštinu) podeljena je na dva dela (5. i 20. dan u mesecu za prethodni mesec). Ako iz nekog razloga dođe do promene koja nije mogla da bude evidentirana pre nego što je izvršen obračun zarada (5. dan u mesecu), ta promena će biti uključena u obračun za naredni mesec. Obračun socijalnih doprinosa odobrava republička Poreska uprava elektronski, putem kontrolnog broja.   Plaćanje se vrši elektronski preko Trezora na bankovne račune zaposlenih.</w:t>
      </w:r>
    </w:p>
    <w:p w:rsidR="00261842" w:rsidRPr="00003053" w:rsidRDefault="00261842">
      <w:pPr>
        <w:spacing w:after="120" w:line="260" w:lineRule="auto"/>
        <w:jc w:val="both"/>
        <w:rPr>
          <w:szCs w:val="24"/>
          <w:lang w:val="sr-Latn-RS"/>
        </w:rPr>
      </w:pPr>
      <w:r w:rsidRPr="00003053">
        <w:rPr>
          <w:szCs w:val="24"/>
          <w:lang w:val="sr-Latn-RS"/>
        </w:rPr>
        <w:t>Ocena A</w:t>
      </w:r>
    </w:p>
    <w:p w:rsidR="00261842" w:rsidRPr="001E4CDF" w:rsidRDefault="00261842">
      <w:pPr>
        <w:pStyle w:val="ParagraphNumbering"/>
        <w:numPr>
          <w:ilvl w:val="0"/>
          <w:numId w:val="0"/>
        </w:numPr>
        <w:spacing w:line="240" w:lineRule="auto"/>
        <w:rPr>
          <w:b/>
          <w:lang w:val="sr-Latn-RS"/>
        </w:rPr>
      </w:pPr>
      <w:r w:rsidRPr="001E4CDF">
        <w:rPr>
          <w:b/>
          <w:lang w:val="sr-Latn-RS"/>
        </w:rPr>
        <w:t>(</w:t>
      </w:r>
      <w:proofErr w:type="spellStart"/>
      <w:r w:rsidRPr="001E4CDF">
        <w:rPr>
          <w:b/>
          <w:lang w:val="sr-Latn-RS"/>
        </w:rPr>
        <w:t>iii</w:t>
      </w:r>
      <w:proofErr w:type="spellEnd"/>
      <w:r w:rsidRPr="001E4CDF">
        <w:rPr>
          <w:b/>
          <w:lang w:val="sr-Latn-RS"/>
        </w:rPr>
        <w:t>) Interne kontrole izmene podataka u kadrovskoj evidenciji i platnim spiskovima</w:t>
      </w:r>
    </w:p>
    <w:p w:rsidR="00261842" w:rsidRPr="001E4CDF" w:rsidRDefault="00261842" w:rsidP="00003053">
      <w:pPr>
        <w:pStyle w:val="ParagraphNumbering"/>
        <w:numPr>
          <w:ilvl w:val="0"/>
          <w:numId w:val="0"/>
        </w:numPr>
        <w:spacing w:line="260" w:lineRule="auto"/>
        <w:jc w:val="both"/>
        <w:rPr>
          <w:lang w:val="sr-Latn-RS"/>
        </w:rPr>
      </w:pPr>
      <w:r w:rsidRPr="001E4CDF">
        <w:rPr>
          <w:lang w:val="sr-Latn-RS"/>
        </w:rPr>
        <w:lastRenderedPageBreak/>
        <w:t>Postoji posebna kadrovska služba u kojoj je jedno zaposleno lice.  Evidencija je zaključana u ormaru za arhivu i dostupna je sam zaposlenima u kadrovskoj službi i rukovodiocu Odeljenja za opštu upravu.  Za svaku izmenu evidencije obavezan je potpis ovlašćenog lica.  Kompjuterski sistem za platne spiskove je zaštićen lozinkom a pristup je dozvoljen samo zaduženom za platne spiskove i zaposlenima u Odeljenju za budžet (u slučaju da je neophodna njihova pomoć).   Prijavljivanje na sistem vrši se lozinkom zaposlenog u obračunu plata bez obzira na korisnika čime se revizorski trag ograničava.</w:t>
      </w:r>
    </w:p>
    <w:p w:rsidR="00261842" w:rsidRPr="001E4CDF" w:rsidRDefault="00261842">
      <w:pPr>
        <w:pStyle w:val="ParagraphNumbering"/>
        <w:numPr>
          <w:ilvl w:val="0"/>
          <w:numId w:val="0"/>
        </w:numPr>
        <w:spacing w:line="260" w:lineRule="auto"/>
        <w:rPr>
          <w:lang w:val="sr-Latn-RS"/>
        </w:rPr>
      </w:pPr>
      <w:r w:rsidRPr="001E4CDF">
        <w:rPr>
          <w:lang w:val="sr-Latn-RS"/>
        </w:rPr>
        <w:t>Ocena B</w:t>
      </w:r>
    </w:p>
    <w:p w:rsidR="00261842" w:rsidRPr="001E4CDF" w:rsidRDefault="00261842">
      <w:pPr>
        <w:spacing w:after="120" w:line="260" w:lineRule="auto"/>
        <w:jc w:val="both"/>
        <w:rPr>
          <w:b/>
          <w:szCs w:val="24"/>
          <w:lang w:val="sr-Latn-RS"/>
        </w:rPr>
      </w:pPr>
      <w:r w:rsidRPr="001E4CDF">
        <w:rPr>
          <w:b/>
          <w:szCs w:val="24"/>
          <w:lang w:val="sr-Latn-RS"/>
        </w:rPr>
        <w:t>(</w:t>
      </w:r>
      <w:proofErr w:type="spellStart"/>
      <w:r w:rsidRPr="001E4CDF">
        <w:rPr>
          <w:b/>
          <w:szCs w:val="24"/>
          <w:lang w:val="sr-Latn-RS"/>
        </w:rPr>
        <w:t>iv</w:t>
      </w:r>
      <w:proofErr w:type="spellEnd"/>
      <w:r w:rsidRPr="001E4CDF">
        <w:rPr>
          <w:b/>
          <w:szCs w:val="24"/>
          <w:lang w:val="sr-Latn-RS"/>
        </w:rPr>
        <w:t>) Postojanje revizije obrade plata sa ciljem da se utvrde slabosti u kontroli i/ili nepostojeći radnici</w:t>
      </w:r>
    </w:p>
    <w:p w:rsidR="00261842" w:rsidRPr="001E4CDF" w:rsidRDefault="00261842" w:rsidP="00212385">
      <w:pPr>
        <w:pStyle w:val="ParagraphNumbering"/>
        <w:numPr>
          <w:ilvl w:val="0"/>
          <w:numId w:val="0"/>
        </w:numPr>
        <w:spacing w:line="260" w:lineRule="auto"/>
        <w:jc w:val="both"/>
        <w:rPr>
          <w:lang w:val="sr-Latn-RS"/>
        </w:rPr>
      </w:pPr>
      <w:r w:rsidRPr="001E4CDF">
        <w:rPr>
          <w:lang w:val="sr-Latn-RS"/>
        </w:rPr>
        <w:t>Revizija platne liste nikada nije vršena.  Regionalni inspektor je izvršio ad hoc kontrolu platne liste i nije utvrdio postojanje značajnih nepravilnosti.</w:t>
      </w:r>
    </w:p>
    <w:p w:rsidR="00261842" w:rsidRPr="001E4CDF" w:rsidRDefault="00261842">
      <w:pPr>
        <w:pStyle w:val="ParagraphNumbering"/>
        <w:numPr>
          <w:ilvl w:val="0"/>
          <w:numId w:val="0"/>
        </w:numPr>
        <w:spacing w:line="260" w:lineRule="auto"/>
        <w:rPr>
          <w:lang w:val="sr-Latn-RS"/>
        </w:rPr>
      </w:pPr>
      <w:r w:rsidRPr="001E4CDF">
        <w:rPr>
          <w:lang w:val="sr-Latn-RS"/>
        </w:rPr>
        <w:t>Ocena D</w:t>
      </w:r>
    </w:p>
    <w:p w:rsidR="00261842" w:rsidRPr="001E4CDF" w:rsidRDefault="00261842">
      <w:pPr>
        <w:spacing w:line="260" w:lineRule="auto"/>
        <w:rPr>
          <w:b/>
          <w:szCs w:val="24"/>
          <w:lang w:val="sr-Latn-RS"/>
        </w:rPr>
      </w:pPr>
      <w:r w:rsidRPr="001E4CDF">
        <w:rPr>
          <w:b/>
          <w:szCs w:val="24"/>
          <w:lang w:val="sr-Latn-RS"/>
        </w:rPr>
        <w:t>PU-19 Transparentnost, konkurencija i mehanizmi žalbi u postupku nabavke</w:t>
      </w:r>
    </w:p>
    <w:p w:rsidR="00261842" w:rsidRPr="001E4CDF" w:rsidRDefault="00261842">
      <w:pPr>
        <w:rPr>
          <w:rFonts w:ascii="Arial" w:hAnsi="Arial"/>
          <w:b/>
          <w:color w:val="000000"/>
          <w:szCs w:val="24"/>
          <w:lang w:val="sr-Latn-RS"/>
        </w:rPr>
      </w:pPr>
    </w:p>
    <w:p w:rsidR="00261842" w:rsidRPr="001E4CDF" w:rsidRDefault="00261842">
      <w:pPr>
        <w:pStyle w:val="ParagraphNumbering"/>
        <w:numPr>
          <w:ilvl w:val="0"/>
          <w:numId w:val="0"/>
        </w:numPr>
        <w:spacing w:line="260" w:lineRule="auto"/>
        <w:rPr>
          <w:lang w:val="sr-Latn-RS"/>
        </w:rPr>
      </w:pPr>
      <w:r w:rsidRPr="001E4CDF">
        <w:rPr>
          <w:lang w:val="sr-Latn-RS"/>
        </w:rPr>
        <w:t>U ovom indikatoru se procenjuje funkcionisanje sistema javnih nabavki u skladu sa načelima transparentnosti i konkurencije kako bi se dobile fer i razumne cene i ukupna vrednost za novac.</w:t>
      </w:r>
    </w:p>
    <w:tbl>
      <w:tblPr>
        <w:tblW w:w="0" w:type="auto"/>
        <w:tblInd w:w="99" w:type="dxa"/>
        <w:tblLayout w:type="fixed"/>
        <w:tblLook w:val="0000" w:firstRow="0" w:lastRow="0" w:firstColumn="0" w:lastColumn="0" w:noHBand="0" w:noVBand="0"/>
      </w:tblPr>
      <w:tblGrid>
        <w:gridCol w:w="2844"/>
        <w:gridCol w:w="1116"/>
        <w:gridCol w:w="4980"/>
      </w:tblGrid>
      <w:tr w:rsidR="00261842" w:rsidRPr="00025057">
        <w:trPr>
          <w:trHeight w:val="293"/>
        </w:trPr>
        <w:tc>
          <w:tcPr>
            <w:tcW w:w="2844"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both"/>
              <w:textAlignment w:val="baseline"/>
              <w:rPr>
                <w:rFonts w:ascii="Arial" w:hAnsi="Arial"/>
                <w:color w:val="000000"/>
                <w:sz w:val="20"/>
                <w:szCs w:val="24"/>
                <w:lang w:val="sr-Latn-RS"/>
              </w:rPr>
            </w:pPr>
          </w:p>
        </w:tc>
        <w:tc>
          <w:tcPr>
            <w:tcW w:w="6096" w:type="dxa"/>
            <w:gridSpan w:val="2"/>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M2)</w:t>
            </w:r>
          </w:p>
        </w:tc>
      </w:tr>
      <w:tr w:rsidR="00261842" w:rsidRPr="00C03E15">
        <w:trPr>
          <w:trHeight w:val="252"/>
        </w:trPr>
        <w:tc>
          <w:tcPr>
            <w:tcW w:w="2844" w:type="dxa"/>
            <w:tcBorders>
              <w:top w:val="single" w:sz="8" w:space="0" w:color="000000"/>
              <w:left w:val="single" w:sz="8" w:space="0" w:color="000000"/>
              <w:bottom w:val="single" w:sz="8" w:space="0" w:color="000000"/>
            </w:tcBorders>
            <w:shd w:val="clear" w:color="auto" w:fill="D2EFFF"/>
          </w:tcPr>
          <w:p w:rsidR="00261842" w:rsidRPr="00C03E15" w:rsidRDefault="00261842">
            <w:pPr>
              <w:rPr>
                <w:sz w:val="20"/>
                <w:szCs w:val="24"/>
                <w:lang w:val="sr-Latn-RS"/>
              </w:rPr>
            </w:pPr>
          </w:p>
        </w:tc>
        <w:tc>
          <w:tcPr>
            <w:tcW w:w="1116"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jc w:val="center"/>
              <w:rPr>
                <w:sz w:val="20"/>
                <w:szCs w:val="24"/>
                <w:lang w:val="sr-Latn-RS"/>
              </w:rPr>
            </w:pPr>
            <w:r w:rsidRPr="00C03E15">
              <w:rPr>
                <w:sz w:val="20"/>
                <w:szCs w:val="24"/>
                <w:lang w:val="sr-Latn-RS"/>
              </w:rPr>
              <w:t>2014</w:t>
            </w:r>
          </w:p>
        </w:tc>
        <w:tc>
          <w:tcPr>
            <w:tcW w:w="4980"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spacing w:line="260" w:lineRule="auto"/>
              <w:jc w:val="center"/>
              <w:rPr>
                <w:szCs w:val="24"/>
                <w:lang w:val="sr-Latn-RS"/>
              </w:rPr>
            </w:pPr>
            <w:r w:rsidRPr="00C03E15">
              <w:rPr>
                <w:sz w:val="20"/>
                <w:szCs w:val="24"/>
                <w:lang w:val="sr-Latn-RS"/>
              </w:rPr>
              <w:t>Objašnjenje</w:t>
            </w:r>
          </w:p>
        </w:tc>
      </w:tr>
      <w:tr w:rsidR="00261842" w:rsidRPr="00C03E15">
        <w:trPr>
          <w:trHeight w:val="252"/>
        </w:trPr>
        <w:tc>
          <w:tcPr>
            <w:tcW w:w="2844" w:type="dxa"/>
            <w:tcBorders>
              <w:top w:val="single" w:sz="8" w:space="0" w:color="000000"/>
              <w:lef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b/>
                <w:sz w:val="20"/>
                <w:szCs w:val="24"/>
                <w:lang w:val="sr-Latn-RS"/>
              </w:rPr>
              <w:t>PU-19 Transparentnost, konkurencija i mehanizmi žalbi u postupku nabavke</w:t>
            </w:r>
          </w:p>
        </w:tc>
        <w:tc>
          <w:tcPr>
            <w:tcW w:w="1116"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b/>
                <w:sz w:val="20"/>
                <w:szCs w:val="24"/>
                <w:lang w:val="sr-Latn-RS"/>
              </w:rPr>
              <w:t>Ocena A</w:t>
            </w:r>
          </w:p>
        </w:tc>
        <w:tc>
          <w:tcPr>
            <w:tcW w:w="4980" w:type="dxa"/>
            <w:tcBorders>
              <w:top w:val="single" w:sz="8" w:space="0" w:color="000000"/>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025057">
        <w:trPr>
          <w:trHeight w:val="252"/>
        </w:trPr>
        <w:tc>
          <w:tcPr>
            <w:tcW w:w="2844" w:type="dxa"/>
            <w:tcBorders>
              <w:top w:val="single" w:sz="8" w:space="0" w:color="000000"/>
              <w:lef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 xml:space="preserve">(i) Transparentnost, </w:t>
            </w:r>
            <w:proofErr w:type="spellStart"/>
            <w:r w:rsidRPr="00C03E15">
              <w:rPr>
                <w:sz w:val="20"/>
                <w:szCs w:val="24"/>
                <w:lang w:val="sr-Latn-RS"/>
              </w:rPr>
              <w:t>sveobuhvatnost</w:t>
            </w:r>
            <w:proofErr w:type="spellEnd"/>
            <w:r w:rsidRPr="00C03E15">
              <w:rPr>
                <w:sz w:val="20"/>
                <w:szCs w:val="24"/>
                <w:lang w:val="sr-Latn-RS"/>
              </w:rPr>
              <w:t xml:space="preserve"> i konkurentnost u zakonodavnom okviru</w:t>
            </w:r>
          </w:p>
        </w:tc>
        <w:tc>
          <w:tcPr>
            <w:tcW w:w="1116"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4980"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sz w:val="20"/>
                <w:szCs w:val="24"/>
                <w:lang w:val="sr-Latn-RS"/>
              </w:rPr>
              <w:t xml:space="preserve">Zakonodavni okvir podrazumeva svih 6 zahteva sa liste  </w:t>
            </w:r>
          </w:p>
        </w:tc>
      </w:tr>
      <w:tr w:rsidR="00261842" w:rsidRPr="00025057">
        <w:trPr>
          <w:trHeight w:val="252"/>
        </w:trPr>
        <w:tc>
          <w:tcPr>
            <w:tcW w:w="2844" w:type="dxa"/>
            <w:tcBorders>
              <w:top w:val="single" w:sz="8" w:space="0" w:color="000000"/>
              <w:left w:val="single" w:sz="8" w:space="0" w:color="000000"/>
              <w:bottom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w:t>
            </w:r>
            <w:proofErr w:type="spellStart"/>
            <w:r w:rsidRPr="00C03E15">
              <w:rPr>
                <w:color w:val="000000"/>
                <w:sz w:val="20"/>
                <w:szCs w:val="24"/>
                <w:lang w:val="sr-Latn-RS"/>
              </w:rPr>
              <w:t>ii</w:t>
            </w:r>
            <w:proofErr w:type="spellEnd"/>
            <w:r w:rsidRPr="00C03E15">
              <w:rPr>
                <w:color w:val="000000"/>
                <w:sz w:val="20"/>
                <w:szCs w:val="24"/>
                <w:lang w:val="sr-Latn-RS"/>
              </w:rPr>
              <w:t>) Korišćenje konkurentnih metoda nabavki</w:t>
            </w:r>
          </w:p>
        </w:tc>
        <w:tc>
          <w:tcPr>
            <w:tcW w:w="1116"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4980"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40" w:lineRule="auto"/>
              <w:rPr>
                <w:szCs w:val="24"/>
                <w:lang w:val="sr-Latn-RS"/>
              </w:rPr>
            </w:pPr>
            <w:r w:rsidRPr="00C03E15">
              <w:rPr>
                <w:sz w:val="20"/>
                <w:szCs w:val="24"/>
                <w:lang w:val="sr-Latn-RS"/>
              </w:rPr>
              <w:t xml:space="preserve">Svi slučajevi u kojima su ugovori dodeljeni u postupcima van </w:t>
            </w:r>
            <w:proofErr w:type="spellStart"/>
            <w:r w:rsidRPr="00C03E15">
              <w:rPr>
                <w:sz w:val="20"/>
                <w:szCs w:val="24"/>
                <w:lang w:val="sr-Latn-RS"/>
              </w:rPr>
              <w:t>kompetitivnih</w:t>
            </w:r>
            <w:proofErr w:type="spellEnd"/>
            <w:r w:rsidRPr="00C03E15">
              <w:rPr>
                <w:sz w:val="20"/>
                <w:szCs w:val="24"/>
                <w:lang w:val="sr-Latn-RS"/>
              </w:rPr>
              <w:t xml:space="preserve">, su opravdani u skladu sa zakonom  </w:t>
            </w:r>
          </w:p>
        </w:tc>
      </w:tr>
      <w:tr w:rsidR="00261842" w:rsidRPr="00025057">
        <w:trPr>
          <w:trHeight w:val="252"/>
        </w:trPr>
        <w:tc>
          <w:tcPr>
            <w:tcW w:w="2844" w:type="dxa"/>
            <w:tcBorders>
              <w:top w:val="single" w:sz="8" w:space="0" w:color="000000"/>
              <w:left w:val="single" w:sz="8" w:space="0" w:color="000000"/>
              <w:bottom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color w:val="000000"/>
                <w:sz w:val="20"/>
                <w:szCs w:val="24"/>
                <w:lang w:val="sr-Latn-RS"/>
              </w:rPr>
            </w:pPr>
            <w:r w:rsidRPr="00C03E15">
              <w:rPr>
                <w:color w:val="000000"/>
                <w:sz w:val="20"/>
                <w:szCs w:val="24"/>
                <w:lang w:val="sr-Latn-RS"/>
              </w:rPr>
              <w:t>(</w:t>
            </w:r>
            <w:proofErr w:type="spellStart"/>
            <w:r w:rsidRPr="00C03E15">
              <w:rPr>
                <w:color w:val="000000"/>
                <w:sz w:val="20"/>
                <w:szCs w:val="24"/>
                <w:lang w:val="sr-Latn-RS"/>
              </w:rPr>
              <w:t>iii</w:t>
            </w:r>
            <w:proofErr w:type="spellEnd"/>
            <w:r w:rsidRPr="00C03E15">
              <w:rPr>
                <w:color w:val="000000"/>
                <w:sz w:val="20"/>
                <w:szCs w:val="24"/>
                <w:lang w:val="sr-Latn-RS"/>
              </w:rPr>
              <w:t>) Javni pristup kompletnim, pouzdanim i blagovremenim informacijama o nabavkama</w:t>
            </w:r>
          </w:p>
          <w:p w:rsidR="00261842" w:rsidRPr="00C03E15" w:rsidRDefault="00261842">
            <w:pPr>
              <w:rPr>
                <w:sz w:val="20"/>
                <w:szCs w:val="24"/>
                <w:lang w:val="sr-Latn-RS"/>
              </w:rPr>
            </w:pPr>
          </w:p>
        </w:tc>
        <w:tc>
          <w:tcPr>
            <w:tcW w:w="1116"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4980"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40" w:lineRule="auto"/>
              <w:ind w:right="108"/>
              <w:rPr>
                <w:szCs w:val="24"/>
                <w:lang w:val="sr-Latn-RS"/>
              </w:rPr>
            </w:pPr>
            <w:r w:rsidRPr="00C03E15">
              <w:rPr>
                <w:sz w:val="20"/>
                <w:szCs w:val="24"/>
                <w:lang w:val="sr-Latn-RS"/>
              </w:rPr>
              <w:t>Ključne informacije o nabavkama (planovi javnih nabavki, konkursna dokumentacija, dodela ugovora, i podaci o rešavanju žalbi u postupku nabavke) su dostupni javnosti putem odgovarajućih sredstava.   Svi ključni elemenati za informacije o nabavkama su potpuni i pouzdani za jedinice samouprave i predstavljaju 90% operacija nabavki (po vrednosti) i dostupni su javnosti blagovremeno putem odgovarajućih sredstava.</w:t>
            </w:r>
          </w:p>
        </w:tc>
      </w:tr>
      <w:tr w:rsidR="00261842" w:rsidRPr="00025057">
        <w:trPr>
          <w:trHeight w:val="252"/>
        </w:trPr>
        <w:tc>
          <w:tcPr>
            <w:tcW w:w="2844" w:type="dxa"/>
            <w:tcBorders>
              <w:top w:val="single" w:sz="8" w:space="0" w:color="000000"/>
              <w:left w:val="single" w:sz="8" w:space="0" w:color="000000"/>
              <w:bottom w:val="single" w:sz="8" w:space="0" w:color="000000"/>
            </w:tcBorders>
          </w:tcPr>
          <w:p w:rsidR="00261842" w:rsidRPr="00C03E15" w:rsidRDefault="00261842">
            <w:pPr>
              <w:spacing w:line="260" w:lineRule="auto"/>
              <w:rPr>
                <w:szCs w:val="24"/>
                <w:lang w:val="sr-Latn-RS"/>
              </w:rPr>
            </w:pPr>
            <w:r w:rsidRPr="00C03E15">
              <w:rPr>
                <w:color w:val="000000"/>
                <w:sz w:val="20"/>
                <w:szCs w:val="24"/>
                <w:lang w:val="sr-Latn-RS"/>
              </w:rPr>
              <w:t>(</w:t>
            </w:r>
            <w:proofErr w:type="spellStart"/>
            <w:r w:rsidRPr="00C03E15">
              <w:rPr>
                <w:color w:val="000000"/>
                <w:sz w:val="20"/>
                <w:szCs w:val="24"/>
                <w:lang w:val="sr-Latn-RS"/>
              </w:rPr>
              <w:t>iv</w:t>
            </w:r>
            <w:proofErr w:type="spellEnd"/>
            <w:r w:rsidRPr="00C03E15">
              <w:rPr>
                <w:color w:val="000000"/>
                <w:sz w:val="20"/>
                <w:szCs w:val="24"/>
                <w:lang w:val="sr-Latn-RS"/>
              </w:rPr>
              <w:t xml:space="preserve">) Postojanje nezavisnog upravnog mehanizma za podnošenje žalbi u postupcima </w:t>
            </w:r>
            <w:r w:rsidRPr="00C03E15">
              <w:rPr>
                <w:color w:val="000000"/>
                <w:sz w:val="20"/>
                <w:szCs w:val="24"/>
                <w:lang w:val="sr-Latn-RS"/>
              </w:rPr>
              <w:lastRenderedPageBreak/>
              <w:t>javnih nabavki</w:t>
            </w:r>
          </w:p>
        </w:tc>
        <w:tc>
          <w:tcPr>
            <w:tcW w:w="1116"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lastRenderedPageBreak/>
              <w:t>A</w:t>
            </w:r>
          </w:p>
        </w:tc>
        <w:tc>
          <w:tcPr>
            <w:tcW w:w="4980"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color w:val="000000"/>
                <w:sz w:val="20"/>
                <w:szCs w:val="24"/>
                <w:lang w:val="sr-Latn-RS"/>
              </w:rPr>
              <w:t>Nezavisni upravni mehanizam za podnošenje žalbi u postupcima javnih nabavki ispunjava svih sedam kriterijuma</w:t>
            </w:r>
          </w:p>
        </w:tc>
      </w:tr>
    </w:tbl>
    <w:p w:rsidR="00261842" w:rsidRPr="001E4CDF" w:rsidRDefault="00261842">
      <w:pPr>
        <w:tabs>
          <w:tab w:val="num" w:pos="720"/>
          <w:tab w:val="num" w:pos="1146"/>
        </w:tabs>
        <w:rPr>
          <w:b/>
          <w:szCs w:val="24"/>
          <w:highlight w:val="yellow"/>
          <w:lang w:val="sr-Latn-RS"/>
        </w:rPr>
      </w:pP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 xml:space="preserve">(i) Transparentnost, </w:t>
      </w:r>
      <w:proofErr w:type="spellStart"/>
      <w:r w:rsidRPr="001E4CDF">
        <w:rPr>
          <w:b/>
          <w:szCs w:val="24"/>
          <w:lang w:val="sr-Latn-RS"/>
        </w:rPr>
        <w:t>sveobuhvatnost</w:t>
      </w:r>
      <w:proofErr w:type="spellEnd"/>
      <w:r w:rsidRPr="001E4CDF">
        <w:rPr>
          <w:b/>
          <w:szCs w:val="24"/>
          <w:lang w:val="sr-Latn-RS"/>
        </w:rPr>
        <w:t xml:space="preserve"> i konkurentnost u zakonodavnom okviru</w:t>
      </w:r>
    </w:p>
    <w:p w:rsidR="00261842" w:rsidRPr="001E4CDF" w:rsidRDefault="00261842">
      <w:pPr>
        <w:tabs>
          <w:tab w:val="num" w:pos="720"/>
          <w:tab w:val="num" w:pos="1146"/>
        </w:tabs>
        <w:spacing w:after="120" w:line="260" w:lineRule="auto"/>
        <w:jc w:val="both"/>
        <w:rPr>
          <w:b/>
          <w:szCs w:val="24"/>
          <w:lang w:val="sr-Latn-RS"/>
        </w:rPr>
      </w:pPr>
      <w:r w:rsidRPr="00212385">
        <w:rPr>
          <w:szCs w:val="24"/>
          <w:lang w:val="sr-Latn-RS"/>
        </w:rPr>
        <w:t xml:space="preserve">Zakonodavni okvir o javnim nabavkama u Srbiji je postavljen Zakonom o javnim nabavkama („Službeni glasnik RS“ 124/12). Specifične procedure unutar naručioca (direktni i indirektni korisnici budžeta u opštini </w:t>
      </w:r>
      <w:proofErr w:type="spellStart"/>
      <w:r w:rsidRPr="00212385">
        <w:rPr>
          <w:szCs w:val="24"/>
          <w:lang w:val="sr-Latn-RS"/>
        </w:rPr>
        <w:t>Osečina</w:t>
      </w:r>
      <w:proofErr w:type="spellEnd"/>
      <w:r w:rsidRPr="00212385">
        <w:rPr>
          <w:szCs w:val="24"/>
          <w:lang w:val="sr-Latn-RS"/>
        </w:rPr>
        <w:t xml:space="preserve">) se određuju internim aktom, koji je dokument koji se zahteva na osnovu ZJN i Pravilnika o sadržini akta kojim se uređuje postupak javne nabavke u okviru naručioca („Službeni glasnik RS“, br. 106/13). Procedure planiranja, primene i sprovođenja ugovora su opisane u internom aktu. Opština </w:t>
      </w:r>
      <w:proofErr w:type="spellStart"/>
      <w:r w:rsidRPr="00212385">
        <w:rPr>
          <w:szCs w:val="24"/>
          <w:lang w:val="sr-Latn-RS"/>
        </w:rPr>
        <w:t>Osečina</w:t>
      </w:r>
      <w:proofErr w:type="spellEnd"/>
      <w:r w:rsidRPr="00212385">
        <w:rPr>
          <w:szCs w:val="24"/>
          <w:lang w:val="sr-Latn-RS"/>
        </w:rPr>
        <w:t xml:space="preserve"> ima službenika za javne nabavke koji je odgovoran za sve javne nabavke koje sprovodi opština. Postoje i kompletne informacije o svim javnim nabavkama i ugovorima potpisanim pre tog datuma.  </w:t>
      </w:r>
      <w:proofErr w:type="spellStart"/>
      <w:r w:rsidRPr="00212385">
        <w:rPr>
          <w:szCs w:val="24"/>
          <w:lang w:val="sr-Latn-RS"/>
        </w:rPr>
        <w:t>Osečina</w:t>
      </w:r>
      <w:proofErr w:type="spellEnd"/>
      <w:r w:rsidRPr="00212385">
        <w:rPr>
          <w:szCs w:val="24"/>
          <w:lang w:val="sr-Latn-RS"/>
        </w:rPr>
        <w:t xml:space="preserve"> objavljuje informacije o </w:t>
      </w:r>
      <w:r w:rsidRPr="001E4CDF">
        <w:rPr>
          <w:szCs w:val="24"/>
          <w:lang w:val="sr-Latn-RS"/>
        </w:rPr>
        <w:t xml:space="preserve">aktuelnim (tekućim) nabavkama uključujući relevantnu dokumentaciju (poziv za podnošenje ponuda, tenderska dokumentacija, informacija o potpisanim ugovorima... itd.) kao i Plan nabavke (adresa: </w:t>
      </w:r>
      <w:hyperlink r:id="rId9" w:tgtFrame="_blank" w:history="1">
        <w:r w:rsidRPr="001E4CDF">
          <w:rPr>
            <w:rStyle w:val="Hyperlink"/>
            <w:szCs w:val="24"/>
            <w:lang w:val="sr-Latn-RS"/>
          </w:rPr>
          <w:t>http://osecina.com/dokumenta/javne-nabavke/)</w:t>
        </w:r>
      </w:hyperlink>
      <w:r w:rsidRPr="001E4CDF">
        <w:rPr>
          <w:szCs w:val="24"/>
          <w:lang w:val="sr-Latn-RS"/>
        </w:rPr>
        <w:t>.</w:t>
      </w:r>
    </w:p>
    <w:p w:rsidR="00261842" w:rsidRPr="001E4CDF" w:rsidRDefault="00261842">
      <w:pPr>
        <w:pStyle w:val="ParagraphNumbering"/>
        <w:numPr>
          <w:ilvl w:val="0"/>
          <w:numId w:val="0"/>
        </w:numPr>
        <w:spacing w:line="260" w:lineRule="auto"/>
        <w:rPr>
          <w:lang w:val="sr-Latn-RS"/>
        </w:rPr>
      </w:pPr>
      <w:r w:rsidRPr="001E4CDF">
        <w:rPr>
          <w:lang w:val="sr-Latn-RS"/>
        </w:rPr>
        <w:t>Ocena A</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67"/>
        <w:gridCol w:w="5835"/>
      </w:tblGrid>
      <w:tr w:rsidR="00261842" w:rsidRPr="00C03E15">
        <w:tc>
          <w:tcPr>
            <w:tcW w:w="9771" w:type="dxa"/>
            <w:gridSpan w:val="3"/>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tabs>
                <w:tab w:val="num" w:pos="720"/>
                <w:tab w:val="num" w:pos="1146"/>
              </w:tabs>
              <w:spacing w:line="260" w:lineRule="auto"/>
              <w:jc w:val="center"/>
              <w:rPr>
                <w:szCs w:val="24"/>
                <w:lang w:val="sr-Latn-RS"/>
              </w:rPr>
            </w:pPr>
            <w:r w:rsidRPr="00C03E15">
              <w:rPr>
                <w:b/>
                <w:sz w:val="20"/>
                <w:szCs w:val="24"/>
                <w:lang w:val="sr-Latn-RS"/>
              </w:rPr>
              <w:t>Saglasnost sa PEFA zahtevima</w:t>
            </w:r>
          </w:p>
        </w:tc>
      </w:tr>
      <w:tr w:rsidR="00261842" w:rsidRPr="00C03E15" w:rsidTr="00212385">
        <w:tc>
          <w:tcPr>
            <w:tcW w:w="3369"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tabs>
                <w:tab w:val="num" w:pos="720"/>
                <w:tab w:val="num" w:pos="1146"/>
              </w:tabs>
              <w:spacing w:line="260" w:lineRule="auto"/>
              <w:rPr>
                <w:szCs w:val="24"/>
                <w:lang w:val="sr-Latn-RS"/>
              </w:rPr>
            </w:pPr>
            <w:r w:rsidRPr="00C03E15">
              <w:rPr>
                <w:b/>
                <w:sz w:val="20"/>
                <w:szCs w:val="24"/>
                <w:lang w:val="sr-Latn-RS"/>
              </w:rPr>
              <w:t>Da li je pravni i regulatorni okvir za nabavku:</w:t>
            </w:r>
          </w:p>
        </w:tc>
        <w:tc>
          <w:tcPr>
            <w:tcW w:w="567"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tabs>
                <w:tab w:val="num" w:pos="720"/>
                <w:tab w:val="num" w:pos="1146"/>
              </w:tabs>
              <w:spacing w:line="260" w:lineRule="auto"/>
              <w:jc w:val="center"/>
              <w:rPr>
                <w:szCs w:val="24"/>
                <w:lang w:val="sr-Latn-RS"/>
              </w:rPr>
            </w:pPr>
            <w:r w:rsidRPr="00C03E15">
              <w:rPr>
                <w:b/>
                <w:sz w:val="20"/>
                <w:szCs w:val="24"/>
                <w:lang w:val="sr-Latn-RS"/>
              </w:rPr>
              <w:t>Saglasnost</w:t>
            </w:r>
          </w:p>
        </w:tc>
        <w:tc>
          <w:tcPr>
            <w:tcW w:w="5835"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tabs>
                <w:tab w:val="num" w:pos="720"/>
                <w:tab w:val="num" w:pos="1146"/>
              </w:tabs>
              <w:spacing w:line="260" w:lineRule="auto"/>
              <w:jc w:val="center"/>
              <w:rPr>
                <w:szCs w:val="24"/>
                <w:lang w:val="sr-Latn-RS"/>
              </w:rPr>
            </w:pPr>
            <w:r w:rsidRPr="00C03E15">
              <w:rPr>
                <w:b/>
                <w:sz w:val="20"/>
                <w:szCs w:val="24"/>
                <w:lang w:val="sr-Latn-RS"/>
              </w:rPr>
              <w:t>Objašnjenje</w:t>
            </w:r>
          </w:p>
        </w:tc>
      </w:tr>
      <w:tr w:rsidR="00261842" w:rsidRPr="00025057" w:rsidTr="00212385">
        <w:tc>
          <w:tcPr>
            <w:tcW w:w="3369" w:type="dxa"/>
            <w:tcBorders>
              <w:top w:val="single" w:sz="8" w:space="0" w:color="000000"/>
            </w:tcBorders>
          </w:tcPr>
          <w:p w:rsidR="00261842" w:rsidRPr="00C03E15" w:rsidRDefault="00261842">
            <w:pPr>
              <w:tabs>
                <w:tab w:val="num" w:pos="720"/>
                <w:tab w:val="num" w:pos="1146"/>
              </w:tabs>
              <w:spacing w:line="260" w:lineRule="auto"/>
              <w:rPr>
                <w:szCs w:val="24"/>
                <w:lang w:val="sr-Latn-RS"/>
              </w:rPr>
            </w:pPr>
            <w:r w:rsidRPr="00C03E15">
              <w:rPr>
                <w:sz w:val="20"/>
                <w:szCs w:val="24"/>
                <w:lang w:val="sr-Latn-RS"/>
              </w:rPr>
              <w:t>(i) organizovan  hijerarhijski i procedure su jasno uspostavljene</w:t>
            </w:r>
          </w:p>
        </w:tc>
        <w:tc>
          <w:tcPr>
            <w:tcW w:w="567" w:type="dxa"/>
            <w:tcBorders>
              <w:top w:val="single" w:sz="8" w:space="0" w:color="000000"/>
            </w:tcBorders>
          </w:tcPr>
          <w:p w:rsidR="00261842" w:rsidRPr="00C03E15" w:rsidRDefault="00261842">
            <w:pPr>
              <w:tabs>
                <w:tab w:val="num" w:pos="720"/>
                <w:tab w:val="num" w:pos="1146"/>
              </w:tabs>
              <w:spacing w:line="260" w:lineRule="auto"/>
              <w:jc w:val="center"/>
              <w:rPr>
                <w:szCs w:val="24"/>
                <w:lang w:val="sr-Latn-RS"/>
              </w:rPr>
            </w:pPr>
            <w:r w:rsidRPr="00C03E15">
              <w:rPr>
                <w:sz w:val="20"/>
                <w:szCs w:val="24"/>
                <w:lang w:val="sr-Latn-RS"/>
              </w:rPr>
              <w:t>Da</w:t>
            </w:r>
          </w:p>
        </w:tc>
        <w:tc>
          <w:tcPr>
            <w:tcW w:w="5835" w:type="dxa"/>
            <w:tcBorders>
              <w:top w:val="single" w:sz="8" w:space="0" w:color="000000"/>
            </w:tcBorders>
          </w:tcPr>
          <w:p w:rsidR="00261842" w:rsidRPr="00C03E15" w:rsidRDefault="00261842">
            <w:pPr>
              <w:tabs>
                <w:tab w:val="num" w:pos="720"/>
                <w:tab w:val="num" w:pos="1146"/>
              </w:tabs>
              <w:spacing w:line="260" w:lineRule="auto"/>
              <w:rPr>
                <w:szCs w:val="24"/>
                <w:lang w:val="sr-Latn-RS"/>
              </w:rPr>
            </w:pPr>
            <w:r w:rsidRPr="00C03E15">
              <w:rPr>
                <w:sz w:val="20"/>
                <w:szCs w:val="24"/>
                <w:lang w:val="sr-Latn-RS"/>
              </w:rPr>
              <w:t xml:space="preserve">Odeljenje za javne nabavke radi u skladu za ZJN („Službeni glasnik", br. 124/12 i podzakonskim aktima </w:t>
            </w:r>
            <w:r w:rsidRPr="00C03E15">
              <w:rPr>
                <w:sz w:val="16"/>
                <w:szCs w:val="24"/>
                <w:lang w:val="sr-Latn-RS"/>
              </w:rPr>
              <w:t>(</w:t>
            </w:r>
            <w:r w:rsidRPr="00C03E15">
              <w:rPr>
                <w:sz w:val="20"/>
                <w:szCs w:val="24"/>
                <w:lang w:val="sr-Latn-RS"/>
              </w:rPr>
              <w:t>Pravilnik o sadržini akta kojim se uređuje postupak javne nabavke u okviru naručioca („Službeni glasnik RS“, br. 106/13), kao i Internim aktom</w:t>
            </w:r>
          </w:p>
        </w:tc>
      </w:tr>
      <w:tr w:rsidR="00261842" w:rsidRPr="00025057" w:rsidTr="00212385">
        <w:tc>
          <w:tcPr>
            <w:tcW w:w="3369" w:type="dxa"/>
          </w:tcPr>
          <w:p w:rsidR="00261842" w:rsidRPr="00C03E15" w:rsidRDefault="00261842">
            <w:pPr>
              <w:tabs>
                <w:tab w:val="num" w:pos="720"/>
                <w:tab w:val="num" w:pos="1146"/>
              </w:tabs>
              <w:spacing w:line="26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besplatno i jednostavno dostupan javnosti na primeren način</w:t>
            </w:r>
          </w:p>
        </w:tc>
        <w:tc>
          <w:tcPr>
            <w:tcW w:w="567" w:type="dxa"/>
          </w:tcPr>
          <w:p w:rsidR="00261842" w:rsidRPr="00C03E15" w:rsidRDefault="00261842">
            <w:pPr>
              <w:spacing w:line="260" w:lineRule="auto"/>
              <w:jc w:val="center"/>
              <w:rPr>
                <w:szCs w:val="24"/>
                <w:lang w:val="sr-Latn-RS"/>
              </w:rPr>
            </w:pPr>
            <w:r w:rsidRPr="00C03E15">
              <w:rPr>
                <w:sz w:val="20"/>
                <w:szCs w:val="24"/>
                <w:lang w:val="sr-Latn-RS"/>
              </w:rPr>
              <w:t>Da</w:t>
            </w:r>
          </w:p>
        </w:tc>
        <w:tc>
          <w:tcPr>
            <w:tcW w:w="5835" w:type="dxa"/>
          </w:tcPr>
          <w:p w:rsidR="00261842" w:rsidRPr="00C03E15" w:rsidRDefault="00261842">
            <w:pPr>
              <w:tabs>
                <w:tab w:val="num" w:pos="720"/>
                <w:tab w:val="num" w:pos="1146"/>
              </w:tabs>
              <w:spacing w:line="260" w:lineRule="auto"/>
              <w:rPr>
                <w:szCs w:val="24"/>
                <w:lang w:val="sr-Latn-RS"/>
              </w:rPr>
            </w:pPr>
            <w:r w:rsidRPr="00C03E15">
              <w:rPr>
                <w:sz w:val="20"/>
                <w:szCs w:val="24"/>
                <w:lang w:val="sr-Latn-RS"/>
              </w:rPr>
              <w:t>Informacije se objavljuju istovremeno na sajtu i Portalu javnih nabavki</w:t>
            </w:r>
            <w:r w:rsidR="00B855A7" w:rsidRPr="00C03E15">
              <w:rPr>
                <w:rStyle w:val="FootnoteReference"/>
                <w:sz w:val="20"/>
                <w:szCs w:val="24"/>
                <w:lang w:val="sr-Latn-RS"/>
              </w:rPr>
              <w:footnoteReference w:id="13"/>
            </w:r>
            <w:r w:rsidRPr="00C03E15">
              <w:rPr>
                <w:sz w:val="20"/>
                <w:szCs w:val="24"/>
                <w:lang w:val="sr-Latn-RS"/>
              </w:rPr>
              <w:t>, u skladu za članom 20 ZJN, Zakonom o slobodnom pristupu informacijama od javnog značaja („Službeni glasnik“, br. 120/04, 54/07, 104/09 i 36/10 i Internim aktom</w:t>
            </w:r>
          </w:p>
        </w:tc>
      </w:tr>
      <w:tr w:rsidR="00261842" w:rsidRPr="00025057" w:rsidTr="00212385">
        <w:tc>
          <w:tcPr>
            <w:tcW w:w="3369" w:type="dxa"/>
          </w:tcPr>
          <w:p w:rsidR="00261842" w:rsidRPr="00C03E15" w:rsidRDefault="00261842">
            <w:pPr>
              <w:tabs>
                <w:tab w:val="num" w:pos="720"/>
                <w:tab w:val="num" w:pos="1146"/>
              </w:tabs>
              <w:spacing w:line="260" w:lineRule="auto"/>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odnosi se na sve nabavke kojima se koriste javna sredstva</w:t>
            </w:r>
          </w:p>
        </w:tc>
        <w:tc>
          <w:tcPr>
            <w:tcW w:w="567" w:type="dxa"/>
          </w:tcPr>
          <w:p w:rsidR="00261842" w:rsidRPr="00C03E15" w:rsidRDefault="00261842">
            <w:pPr>
              <w:spacing w:line="260" w:lineRule="auto"/>
              <w:jc w:val="center"/>
              <w:rPr>
                <w:szCs w:val="24"/>
                <w:lang w:val="sr-Latn-RS"/>
              </w:rPr>
            </w:pPr>
            <w:r w:rsidRPr="00C03E15">
              <w:rPr>
                <w:sz w:val="20"/>
                <w:szCs w:val="24"/>
                <w:lang w:val="sr-Latn-RS"/>
              </w:rPr>
              <w:t>Da</w:t>
            </w:r>
          </w:p>
        </w:tc>
        <w:tc>
          <w:tcPr>
            <w:tcW w:w="5835" w:type="dxa"/>
          </w:tcPr>
          <w:p w:rsidR="00261842" w:rsidRPr="00C03E15" w:rsidRDefault="00261842">
            <w:pPr>
              <w:tabs>
                <w:tab w:val="num" w:pos="720"/>
                <w:tab w:val="num" w:pos="1146"/>
              </w:tabs>
              <w:spacing w:line="260" w:lineRule="auto"/>
              <w:rPr>
                <w:szCs w:val="24"/>
                <w:lang w:val="sr-Latn-RS"/>
              </w:rPr>
            </w:pPr>
            <w:r w:rsidRPr="00C03E15">
              <w:rPr>
                <w:sz w:val="20"/>
                <w:szCs w:val="24"/>
                <w:lang w:val="sr-Latn-RS"/>
              </w:rPr>
              <w:t>Grad radi u skladu sa čl. 2 vezano za čl. 7 ZJN</w:t>
            </w:r>
          </w:p>
        </w:tc>
      </w:tr>
      <w:tr w:rsidR="00261842" w:rsidRPr="00025057" w:rsidTr="00212385">
        <w:tc>
          <w:tcPr>
            <w:tcW w:w="3369" w:type="dxa"/>
          </w:tcPr>
          <w:p w:rsidR="00261842" w:rsidRPr="00C03E15" w:rsidRDefault="00261842">
            <w:pPr>
              <w:tabs>
                <w:tab w:val="num" w:pos="720"/>
                <w:tab w:val="num" w:pos="1146"/>
              </w:tabs>
              <w:spacing w:line="260" w:lineRule="auto"/>
              <w:rPr>
                <w:szCs w:val="24"/>
                <w:lang w:val="sr-Latn-RS"/>
              </w:rPr>
            </w:pPr>
            <w:r w:rsidRPr="00C03E15">
              <w:rPr>
                <w:sz w:val="20"/>
                <w:szCs w:val="24"/>
                <w:lang w:val="sr-Latn-RS"/>
              </w:rPr>
              <w:t>(</w:t>
            </w:r>
            <w:proofErr w:type="spellStart"/>
            <w:r w:rsidRPr="00C03E15">
              <w:rPr>
                <w:sz w:val="20"/>
                <w:szCs w:val="24"/>
                <w:lang w:val="sr-Latn-RS"/>
              </w:rPr>
              <w:t>iv</w:t>
            </w:r>
            <w:proofErr w:type="spellEnd"/>
            <w:r w:rsidRPr="00C03E15">
              <w:rPr>
                <w:sz w:val="20"/>
                <w:szCs w:val="24"/>
                <w:lang w:val="sr-Latn-RS"/>
              </w:rPr>
              <w:t xml:space="preserve">)  uređen tako da je </w:t>
            </w:r>
            <w:proofErr w:type="spellStart"/>
            <w:r w:rsidRPr="00C03E15">
              <w:rPr>
                <w:sz w:val="20"/>
                <w:szCs w:val="24"/>
                <w:lang w:val="sr-Latn-RS"/>
              </w:rPr>
              <w:t>kompetitivni</w:t>
            </w:r>
            <w:proofErr w:type="spellEnd"/>
            <w:r w:rsidRPr="00C03E15">
              <w:rPr>
                <w:sz w:val="20"/>
                <w:szCs w:val="24"/>
                <w:lang w:val="sr-Latn-RS"/>
              </w:rPr>
              <w:t xml:space="preserve"> postupak podrazumevani postupak za nabavke i jasno definiše situacije u </w:t>
            </w:r>
            <w:r w:rsidRPr="00C03E15">
              <w:rPr>
                <w:sz w:val="20"/>
                <w:szCs w:val="24"/>
                <w:lang w:val="sr-Latn-RS"/>
              </w:rPr>
              <w:lastRenderedPageBreak/>
              <w:t>kojima se ostali postupci mogu koristiti i način na koji se to opravdava</w:t>
            </w:r>
          </w:p>
        </w:tc>
        <w:tc>
          <w:tcPr>
            <w:tcW w:w="567" w:type="dxa"/>
          </w:tcPr>
          <w:p w:rsidR="00261842" w:rsidRPr="00C03E15" w:rsidRDefault="00261842">
            <w:pPr>
              <w:spacing w:line="260" w:lineRule="auto"/>
              <w:jc w:val="center"/>
              <w:rPr>
                <w:szCs w:val="24"/>
                <w:lang w:val="sr-Latn-RS"/>
              </w:rPr>
            </w:pPr>
            <w:r w:rsidRPr="00C03E15">
              <w:rPr>
                <w:sz w:val="20"/>
                <w:szCs w:val="24"/>
                <w:lang w:val="sr-Latn-RS"/>
              </w:rPr>
              <w:lastRenderedPageBreak/>
              <w:t>Da</w:t>
            </w:r>
          </w:p>
        </w:tc>
        <w:tc>
          <w:tcPr>
            <w:tcW w:w="5835" w:type="dxa"/>
          </w:tcPr>
          <w:p w:rsidR="00261842" w:rsidRPr="00C03E15" w:rsidRDefault="00261842">
            <w:pPr>
              <w:tabs>
                <w:tab w:val="num" w:pos="720"/>
                <w:tab w:val="num" w:pos="1146"/>
              </w:tabs>
              <w:spacing w:line="260" w:lineRule="auto"/>
              <w:rPr>
                <w:szCs w:val="24"/>
                <w:lang w:val="sr-Latn-RS"/>
              </w:rPr>
            </w:pPr>
            <w:proofErr w:type="spellStart"/>
            <w:r w:rsidRPr="00C03E15">
              <w:rPr>
                <w:sz w:val="20"/>
                <w:szCs w:val="24"/>
                <w:lang w:val="sr-Latn-RS"/>
              </w:rPr>
              <w:t>Kompetitivne</w:t>
            </w:r>
            <w:proofErr w:type="spellEnd"/>
            <w:r w:rsidRPr="00C03E15">
              <w:rPr>
                <w:sz w:val="20"/>
                <w:szCs w:val="24"/>
                <w:lang w:val="sr-Latn-RS"/>
              </w:rPr>
              <w:t xml:space="preserve"> procedure su podrazumevani način nabavki za sve nabavke čija je vrednost veća od 400.000 din, u skladu sa čl. 39 st. 2 ZJN </w:t>
            </w:r>
          </w:p>
          <w:p w:rsidR="00261842" w:rsidRPr="00C03E15" w:rsidRDefault="00261842">
            <w:pPr>
              <w:tabs>
                <w:tab w:val="num" w:pos="720"/>
                <w:tab w:val="num" w:pos="1146"/>
              </w:tabs>
              <w:rPr>
                <w:sz w:val="20"/>
                <w:szCs w:val="24"/>
                <w:lang w:val="sr-Latn-RS"/>
              </w:rPr>
            </w:pPr>
          </w:p>
        </w:tc>
      </w:tr>
      <w:tr w:rsidR="00261842" w:rsidRPr="00025057" w:rsidTr="00212385">
        <w:tc>
          <w:tcPr>
            <w:tcW w:w="3369" w:type="dxa"/>
          </w:tcPr>
          <w:p w:rsidR="00261842" w:rsidRPr="00C03E15" w:rsidRDefault="00261842">
            <w:pPr>
              <w:tabs>
                <w:tab w:val="num" w:pos="720"/>
                <w:tab w:val="num" w:pos="1146"/>
              </w:tabs>
              <w:spacing w:line="260" w:lineRule="auto"/>
              <w:rPr>
                <w:szCs w:val="24"/>
                <w:lang w:val="sr-Latn-RS"/>
              </w:rPr>
            </w:pPr>
            <w:r w:rsidRPr="00C03E15">
              <w:rPr>
                <w:sz w:val="20"/>
                <w:szCs w:val="24"/>
                <w:lang w:val="sr-Latn-RS"/>
              </w:rPr>
              <w:lastRenderedPageBreak/>
              <w:t>(v) obezbeđuje javni pristup svakoj od navedenih informacija o nabavkama: plan nabavki, mogućnosti konkurisanja i konkursna dokumentacija, obaveštenje o zaključenom ugovoru i podaci o ishodima žalbi</w:t>
            </w:r>
          </w:p>
        </w:tc>
        <w:tc>
          <w:tcPr>
            <w:tcW w:w="567" w:type="dxa"/>
          </w:tcPr>
          <w:p w:rsidR="00261842" w:rsidRPr="00C03E15" w:rsidRDefault="00261842">
            <w:pPr>
              <w:spacing w:line="260" w:lineRule="auto"/>
              <w:jc w:val="center"/>
              <w:rPr>
                <w:szCs w:val="24"/>
                <w:lang w:val="sr-Latn-RS"/>
              </w:rPr>
            </w:pPr>
            <w:r w:rsidRPr="00C03E15">
              <w:rPr>
                <w:sz w:val="20"/>
                <w:szCs w:val="24"/>
                <w:lang w:val="sr-Latn-RS"/>
              </w:rPr>
              <w:t>Da</w:t>
            </w:r>
          </w:p>
        </w:tc>
        <w:tc>
          <w:tcPr>
            <w:tcW w:w="5835" w:type="dxa"/>
          </w:tcPr>
          <w:p w:rsidR="00261842" w:rsidRPr="00C03E15" w:rsidRDefault="00261842">
            <w:pPr>
              <w:tabs>
                <w:tab w:val="num" w:pos="720"/>
                <w:tab w:val="num" w:pos="1146"/>
              </w:tabs>
              <w:spacing w:line="260" w:lineRule="auto"/>
              <w:rPr>
                <w:szCs w:val="24"/>
                <w:lang w:val="sr-Latn-RS"/>
              </w:rPr>
            </w:pPr>
            <w:r w:rsidRPr="00C03E15">
              <w:rPr>
                <w:sz w:val="20"/>
                <w:szCs w:val="24"/>
                <w:lang w:val="sr-Latn-RS"/>
              </w:rPr>
              <w:t>Informacije se objavljuju istovremeno na zvaničnom sajtu grada i Portalu javnih nabavki, u skladu sa čl. 20 ZJN i Internim aktom. Dodatne informacije mogu se zatražiti u skladu sa Zakonom o slobodnom pristupu informacijama od javnog značaja. Postoje kvartalni izveštaji koji se šalju Upravi za javne nabavke i Državnoj revizorskoj agenciji</w:t>
            </w:r>
          </w:p>
        </w:tc>
      </w:tr>
      <w:tr w:rsidR="00261842" w:rsidRPr="00025057" w:rsidTr="00212385">
        <w:tc>
          <w:tcPr>
            <w:tcW w:w="3369" w:type="dxa"/>
          </w:tcPr>
          <w:p w:rsidR="00261842" w:rsidRPr="00C03E15" w:rsidRDefault="00261842">
            <w:pPr>
              <w:tabs>
                <w:tab w:val="num" w:pos="720"/>
                <w:tab w:val="num" w:pos="1146"/>
              </w:tabs>
              <w:spacing w:line="260" w:lineRule="auto"/>
              <w:rPr>
                <w:szCs w:val="24"/>
                <w:lang w:val="sr-Latn-RS"/>
              </w:rPr>
            </w:pPr>
            <w:r w:rsidRPr="00C03E15">
              <w:rPr>
                <w:sz w:val="20"/>
                <w:szCs w:val="24"/>
                <w:lang w:val="sr-Latn-RS"/>
              </w:rPr>
              <w:t>(vi) obezbeđuje nezavisne žalbene procedure pre potpisivanja ugovora</w:t>
            </w:r>
          </w:p>
        </w:tc>
        <w:tc>
          <w:tcPr>
            <w:tcW w:w="567" w:type="dxa"/>
          </w:tcPr>
          <w:p w:rsidR="00261842" w:rsidRPr="00C03E15" w:rsidRDefault="00261842">
            <w:pPr>
              <w:tabs>
                <w:tab w:val="num" w:pos="720"/>
                <w:tab w:val="num" w:pos="1146"/>
              </w:tabs>
              <w:spacing w:line="260" w:lineRule="auto"/>
              <w:jc w:val="center"/>
              <w:rPr>
                <w:szCs w:val="24"/>
                <w:lang w:val="sr-Latn-RS"/>
              </w:rPr>
            </w:pPr>
            <w:r w:rsidRPr="00C03E15">
              <w:rPr>
                <w:sz w:val="20"/>
                <w:szCs w:val="24"/>
                <w:lang w:val="sr-Latn-RS"/>
              </w:rPr>
              <w:t>Da</w:t>
            </w:r>
          </w:p>
        </w:tc>
        <w:tc>
          <w:tcPr>
            <w:tcW w:w="5835" w:type="dxa"/>
          </w:tcPr>
          <w:p w:rsidR="00261842" w:rsidRPr="00C03E15" w:rsidRDefault="00261842">
            <w:pPr>
              <w:tabs>
                <w:tab w:val="num" w:pos="720"/>
                <w:tab w:val="num" w:pos="1146"/>
              </w:tabs>
              <w:spacing w:line="260" w:lineRule="auto"/>
              <w:rPr>
                <w:szCs w:val="24"/>
                <w:lang w:val="sr-Latn-RS"/>
              </w:rPr>
            </w:pPr>
            <w:r w:rsidRPr="00C03E15">
              <w:rPr>
                <w:sz w:val="20"/>
                <w:szCs w:val="24"/>
                <w:lang w:val="sr-Latn-RS"/>
              </w:rPr>
              <w:t>Žalbe se blagovremeno rešavaju u skladu sa Poglavljem VIII Zakona o javnim nabavkama koji predviđa nezavistan sistem podnošenja žalbi.</w:t>
            </w:r>
          </w:p>
        </w:tc>
      </w:tr>
    </w:tbl>
    <w:p w:rsidR="00261842" w:rsidRPr="001E4CDF" w:rsidRDefault="00261842">
      <w:pPr>
        <w:tabs>
          <w:tab w:val="num" w:pos="720"/>
          <w:tab w:val="num" w:pos="1146"/>
        </w:tabs>
        <w:spacing w:before="240" w:after="120" w:line="260" w:lineRule="auto"/>
        <w:jc w:val="both"/>
        <w:rPr>
          <w:b/>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Korišćenje konkurentnih metoda nabavki</w:t>
      </w:r>
    </w:p>
    <w:p w:rsidR="00261842" w:rsidRPr="001E4CDF" w:rsidRDefault="00261842">
      <w:pPr>
        <w:pStyle w:val="ParagraphNumbering"/>
        <w:numPr>
          <w:ilvl w:val="0"/>
          <w:numId w:val="0"/>
        </w:numPr>
        <w:spacing w:line="260" w:lineRule="auto"/>
        <w:jc w:val="both"/>
        <w:rPr>
          <w:lang w:val="sr-Latn-RS"/>
        </w:rPr>
      </w:pPr>
      <w:r w:rsidRPr="001E4CDF">
        <w:rPr>
          <w:lang w:val="sr-Latn-RS"/>
        </w:rPr>
        <w:t xml:space="preserve">Opština </w:t>
      </w:r>
      <w:proofErr w:type="spellStart"/>
      <w:r w:rsidRPr="001E4CDF">
        <w:rPr>
          <w:lang w:val="sr-Latn-RS"/>
        </w:rPr>
        <w:t>Osečina</w:t>
      </w:r>
      <w:proofErr w:type="spellEnd"/>
      <w:r w:rsidRPr="001E4CDF">
        <w:rPr>
          <w:lang w:val="sr-Latn-RS"/>
        </w:rPr>
        <w:t xml:space="preserve"> i Direkcija za izgradnju i infrastrukturu koriste konkurentne metode kao podrazumevane u postupcima javnih nabavki</w:t>
      </w:r>
      <w:r w:rsidR="003227E0">
        <w:rPr>
          <w:lang w:val="sr-Latn-RS"/>
        </w:rPr>
        <w:t>.</w:t>
      </w:r>
      <w:r w:rsidR="003227E0">
        <w:rPr>
          <w:rStyle w:val="FootnoteReference"/>
          <w:lang w:val="sr-Latn-RS"/>
        </w:rPr>
        <w:footnoteReference w:id="14"/>
      </w:r>
      <w:r w:rsidRPr="001E4CDF">
        <w:rPr>
          <w:rStyle w:val="FootnoteReference"/>
          <w:lang w:val="sr-Latn-RS"/>
        </w:rPr>
        <w:t xml:space="preserve"> </w:t>
      </w:r>
      <w:r w:rsidRPr="001E4CDF">
        <w:rPr>
          <w:lang w:val="sr-Latn-RS"/>
        </w:rPr>
        <w:t xml:space="preserve">   Sve javne nabavke u opštini vodi jedan službenik a u Direkciji su zaposlena dva službenika za javne nabavke.  Pored toga, prema Zakonu o javnim nabavkama</w:t>
      </w:r>
      <w:r w:rsidR="003227E0">
        <w:rPr>
          <w:lang w:val="sr-Latn-RS"/>
        </w:rPr>
        <w:t xml:space="preserve">, opštine mogu da vrše nabavku </w:t>
      </w:r>
      <w:r w:rsidRPr="001E4CDF">
        <w:rPr>
          <w:lang w:val="sr-Latn-RS"/>
        </w:rPr>
        <w:t xml:space="preserve">roba, usluga i radova do vrednosti od RSD 400,000 tako što objave poziv za dostavljanje ponuda na sajtu opštine i </w:t>
      </w:r>
      <w:r w:rsidRPr="005E6EE9">
        <w:rPr>
          <w:lang w:val="sr-Latn-RS"/>
        </w:rPr>
        <w:t>portalu Uprave za javne nabavke</w:t>
      </w:r>
      <w:r w:rsidRPr="001E4CDF">
        <w:rPr>
          <w:lang w:val="sr-Latn-RS"/>
        </w:rPr>
        <w:t xml:space="preserve"> (član 39. stav 5) i zatraže od najmanje tri</w:t>
      </w:r>
      <w:r w:rsidR="003227E0">
        <w:rPr>
          <w:lang w:val="sr-Latn-RS"/>
        </w:rPr>
        <w:t xml:space="preserve"> ponuđača da se prijave</w:t>
      </w:r>
      <w:r w:rsidR="00606DF8">
        <w:rPr>
          <w:lang w:val="sr-Latn-RS"/>
        </w:rPr>
        <w:t xml:space="preserve">, što doprinosi transparentnosti cele procedure. Ove nabavke se obično odnos </w:t>
      </w:r>
      <w:proofErr w:type="spellStart"/>
      <w:r w:rsidR="00606DF8">
        <w:rPr>
          <w:lang w:val="sr-Latn-RS"/>
        </w:rPr>
        <w:t>ena</w:t>
      </w:r>
      <w:proofErr w:type="spellEnd"/>
      <w:r w:rsidR="00606DF8">
        <w:rPr>
          <w:lang w:val="sr-Latn-RS"/>
        </w:rPr>
        <w:t xml:space="preserve"> kancelarijski materijal, održavanje objekata, higijenu, bezalkoholna pića i kafu, kao i na tehničku dokumentaciju za manje projekte izgradnje i infrastrukture</w:t>
      </w:r>
      <w:r w:rsidR="003227E0">
        <w:rPr>
          <w:lang w:val="sr-Latn-RS"/>
        </w:rPr>
        <w:t>. Propis</w:t>
      </w:r>
      <w:r w:rsidRPr="001E4CDF">
        <w:rPr>
          <w:lang w:val="sr-Latn-RS"/>
        </w:rPr>
        <w:t xml:space="preserve">ano je da ne sme doći do sukoba interesa i da ponuđena cena ne sme biti viša od tržišne.   Pred toga, opštine su u obavezi da podnose godišnje i </w:t>
      </w:r>
      <w:proofErr w:type="spellStart"/>
      <w:r w:rsidRPr="001E4CDF">
        <w:rPr>
          <w:lang w:val="sr-Latn-RS"/>
        </w:rPr>
        <w:t>kvartalne</w:t>
      </w:r>
      <w:proofErr w:type="spellEnd"/>
      <w:r w:rsidRPr="001E4CDF">
        <w:rPr>
          <w:lang w:val="sr-Latn-RS"/>
        </w:rPr>
        <w:t xml:space="preserve"> izveštaje u kojima je jasno naveden ukupan broj takvih ugovora i iznosa.</w:t>
      </w:r>
      <w:r w:rsidR="00606DF8">
        <w:rPr>
          <w:lang w:val="sr-Latn-RS"/>
        </w:rPr>
        <w:t xml:space="preserve"> Nije bilo dodeljenog ugovora van konkurentnih metoda dodele ugovora- </w:t>
      </w:r>
      <w:proofErr w:type="spellStart"/>
      <w:r w:rsidR="00606DF8">
        <w:rPr>
          <w:lang w:val="sr-Latn-RS"/>
        </w:rPr>
        <w:t>konkuretne</w:t>
      </w:r>
      <w:proofErr w:type="spellEnd"/>
      <w:r w:rsidR="00606DF8">
        <w:rPr>
          <w:lang w:val="sr-Latn-RS"/>
        </w:rPr>
        <w:t xml:space="preserve"> metode javnih nabavki koriste se u svim navedenim slučajevima ispod tog praga.</w:t>
      </w:r>
      <w:r w:rsidRPr="001E4CDF">
        <w:rPr>
          <w:lang w:val="sr-Latn-RS"/>
        </w:rPr>
        <w:t xml:space="preserve">  Dalje, prema Zakonu o slobodnom pristupu informacijama od javnog značaja, strane u poslu mogu da zahtevaju pristup svakoj informaciji koja se odnosi na izvršenje budžeta putem procedura nabavki.</w:t>
      </w:r>
      <w:r w:rsidRPr="001E4CDF">
        <w:rPr>
          <w:b/>
          <w:lang w:val="sr-Latn-RS"/>
        </w:rPr>
        <w:t xml:space="preserve">  </w:t>
      </w:r>
    </w:p>
    <w:p w:rsidR="00261842" w:rsidRPr="001E4CDF" w:rsidRDefault="00261842">
      <w:pPr>
        <w:pStyle w:val="ParagraphNumbering"/>
        <w:numPr>
          <w:ilvl w:val="0"/>
          <w:numId w:val="0"/>
        </w:numPr>
        <w:spacing w:line="260" w:lineRule="auto"/>
        <w:jc w:val="both"/>
        <w:rPr>
          <w:b/>
          <w:lang w:val="sr-Latn-RS"/>
        </w:rPr>
      </w:pPr>
      <w:r w:rsidRPr="001E4CDF">
        <w:rPr>
          <w:lang w:val="sr-Latn-RS"/>
        </w:rPr>
        <w:t>Iznos i broj ugovora u 2013. i 2014. (do danas) su sledeći:</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984"/>
        <w:gridCol w:w="1701"/>
        <w:gridCol w:w="1418"/>
        <w:gridCol w:w="1672"/>
      </w:tblGrid>
      <w:tr w:rsidR="00261842" w:rsidRPr="00C03E15" w:rsidTr="00C03E15">
        <w:tc>
          <w:tcPr>
            <w:tcW w:w="2122" w:type="dxa"/>
            <w:vMerge w:val="restart"/>
          </w:tcPr>
          <w:p w:rsidR="00261842" w:rsidRPr="00C03E15" w:rsidRDefault="00261842" w:rsidP="00C03E15">
            <w:pPr>
              <w:pStyle w:val="ParagraphNumbering"/>
              <w:numPr>
                <w:ilvl w:val="0"/>
                <w:numId w:val="0"/>
              </w:numPr>
              <w:spacing w:after="0" w:line="240" w:lineRule="auto"/>
              <w:rPr>
                <w:sz w:val="22"/>
                <w:lang w:val="sr-Latn-RS"/>
              </w:rPr>
            </w:pPr>
          </w:p>
        </w:tc>
        <w:tc>
          <w:tcPr>
            <w:tcW w:w="3685" w:type="dxa"/>
            <w:gridSpan w:val="2"/>
            <w:vAlign w:val="center"/>
          </w:tcPr>
          <w:p w:rsidR="00261842" w:rsidRPr="00C03E15" w:rsidRDefault="00261842" w:rsidP="00C03E15">
            <w:pPr>
              <w:pStyle w:val="ParagraphNumbering"/>
              <w:numPr>
                <w:ilvl w:val="0"/>
                <w:numId w:val="0"/>
              </w:numPr>
              <w:spacing w:after="0" w:line="240" w:lineRule="auto"/>
              <w:jc w:val="center"/>
              <w:rPr>
                <w:lang w:val="sr-Latn-RS"/>
              </w:rPr>
            </w:pPr>
            <w:r w:rsidRPr="00C03E15">
              <w:rPr>
                <w:sz w:val="22"/>
                <w:lang w:val="sr-Latn-RS"/>
              </w:rPr>
              <w:t>Opština</w:t>
            </w:r>
          </w:p>
        </w:tc>
        <w:tc>
          <w:tcPr>
            <w:tcW w:w="3090" w:type="dxa"/>
            <w:gridSpan w:val="2"/>
            <w:vAlign w:val="center"/>
          </w:tcPr>
          <w:p w:rsidR="00261842" w:rsidRPr="00C03E15" w:rsidRDefault="00261842" w:rsidP="00C03E15">
            <w:pPr>
              <w:pStyle w:val="ParagraphNumbering"/>
              <w:numPr>
                <w:ilvl w:val="0"/>
                <w:numId w:val="0"/>
              </w:numPr>
              <w:spacing w:after="0" w:line="240" w:lineRule="auto"/>
              <w:jc w:val="center"/>
              <w:rPr>
                <w:lang w:val="sr-Latn-RS"/>
              </w:rPr>
            </w:pPr>
            <w:r w:rsidRPr="00C03E15">
              <w:rPr>
                <w:sz w:val="22"/>
                <w:lang w:val="sr-Latn-RS"/>
              </w:rPr>
              <w:t>Direkcija</w:t>
            </w:r>
          </w:p>
        </w:tc>
      </w:tr>
      <w:tr w:rsidR="00261842" w:rsidRPr="00C03E15" w:rsidTr="00C03E15">
        <w:tc>
          <w:tcPr>
            <w:tcW w:w="2122" w:type="dxa"/>
            <w:vMerge/>
          </w:tcPr>
          <w:p w:rsidR="00261842" w:rsidRPr="00C03E15" w:rsidRDefault="00261842" w:rsidP="00C03E15">
            <w:pPr>
              <w:pStyle w:val="ParagraphNumbering"/>
              <w:numPr>
                <w:ilvl w:val="0"/>
                <w:numId w:val="0"/>
              </w:numPr>
              <w:spacing w:after="0" w:line="240" w:lineRule="auto"/>
              <w:rPr>
                <w:sz w:val="22"/>
                <w:lang w:val="sr-Latn-RS"/>
              </w:rPr>
            </w:pPr>
          </w:p>
        </w:tc>
        <w:tc>
          <w:tcPr>
            <w:tcW w:w="1984" w:type="dxa"/>
            <w:vAlign w:val="center"/>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2013</w:t>
            </w:r>
          </w:p>
        </w:tc>
        <w:tc>
          <w:tcPr>
            <w:tcW w:w="1701" w:type="dxa"/>
            <w:vAlign w:val="center"/>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2014</w:t>
            </w:r>
          </w:p>
        </w:tc>
        <w:tc>
          <w:tcPr>
            <w:tcW w:w="1418" w:type="dxa"/>
            <w:vAlign w:val="center"/>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2013</w:t>
            </w:r>
          </w:p>
        </w:tc>
        <w:tc>
          <w:tcPr>
            <w:tcW w:w="1672" w:type="dxa"/>
            <w:vAlign w:val="center"/>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2014</w:t>
            </w:r>
          </w:p>
        </w:tc>
      </w:tr>
      <w:tr w:rsidR="00261842" w:rsidRPr="00C03E15" w:rsidTr="00C03E15">
        <w:tc>
          <w:tcPr>
            <w:tcW w:w="2122" w:type="dxa"/>
            <w:shd w:val="clear" w:color="auto" w:fill="DAEEF3"/>
          </w:tcPr>
          <w:p w:rsidR="00261842" w:rsidRPr="00C03E15" w:rsidRDefault="00261842" w:rsidP="00C03E15">
            <w:pPr>
              <w:pStyle w:val="ParagraphNumbering"/>
              <w:numPr>
                <w:ilvl w:val="0"/>
                <w:numId w:val="0"/>
              </w:numPr>
              <w:spacing w:after="0" w:line="240" w:lineRule="auto"/>
              <w:rPr>
                <w:lang w:val="sr-Latn-RS"/>
              </w:rPr>
            </w:pPr>
            <w:r w:rsidRPr="00C03E15">
              <w:rPr>
                <w:sz w:val="22"/>
                <w:lang w:val="sr-Latn-RS"/>
              </w:rPr>
              <w:lastRenderedPageBreak/>
              <w:t>Od 400K do 3M</w:t>
            </w:r>
          </w:p>
        </w:tc>
        <w:tc>
          <w:tcPr>
            <w:tcW w:w="1984" w:type="dxa"/>
            <w:shd w:val="clear" w:color="auto" w:fill="DAEEF3"/>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14</w:t>
            </w:r>
          </w:p>
        </w:tc>
        <w:tc>
          <w:tcPr>
            <w:tcW w:w="1701" w:type="dxa"/>
            <w:shd w:val="clear" w:color="auto" w:fill="DAEEF3"/>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9</w:t>
            </w:r>
          </w:p>
        </w:tc>
        <w:tc>
          <w:tcPr>
            <w:tcW w:w="1418" w:type="dxa"/>
            <w:shd w:val="clear" w:color="auto" w:fill="DAEEF3"/>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6</w:t>
            </w:r>
          </w:p>
        </w:tc>
        <w:tc>
          <w:tcPr>
            <w:tcW w:w="1672" w:type="dxa"/>
            <w:shd w:val="clear" w:color="auto" w:fill="DAEEF3"/>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8</w:t>
            </w:r>
          </w:p>
        </w:tc>
      </w:tr>
      <w:tr w:rsidR="00261842" w:rsidRPr="00C03E15" w:rsidTr="00C03E15">
        <w:tc>
          <w:tcPr>
            <w:tcW w:w="2122" w:type="dxa"/>
          </w:tcPr>
          <w:p w:rsidR="00261842" w:rsidRPr="00C03E15" w:rsidRDefault="00261842" w:rsidP="00C03E15">
            <w:pPr>
              <w:pStyle w:val="ParagraphNumbering"/>
              <w:numPr>
                <w:ilvl w:val="0"/>
                <w:numId w:val="0"/>
              </w:numPr>
              <w:spacing w:after="0" w:line="240" w:lineRule="auto"/>
              <w:rPr>
                <w:lang w:val="sr-Latn-RS"/>
              </w:rPr>
            </w:pPr>
            <w:r w:rsidRPr="00C03E15">
              <w:rPr>
                <w:sz w:val="22"/>
                <w:lang w:val="sr-Latn-RS"/>
              </w:rPr>
              <w:t>Procenjeno</w:t>
            </w:r>
          </w:p>
        </w:tc>
        <w:tc>
          <w:tcPr>
            <w:tcW w:w="1984" w:type="dxa"/>
          </w:tcPr>
          <w:p w:rsidR="00261842" w:rsidRPr="00C03E15" w:rsidRDefault="00261842" w:rsidP="00C03E15">
            <w:pPr>
              <w:spacing w:line="240" w:lineRule="auto"/>
              <w:jc w:val="center"/>
              <w:rPr>
                <w:sz w:val="22"/>
                <w:szCs w:val="24"/>
                <w:lang w:val="sr-Latn-RS"/>
              </w:rPr>
            </w:pPr>
            <w:r w:rsidRPr="00C03E15">
              <w:rPr>
                <w:sz w:val="22"/>
                <w:szCs w:val="24"/>
                <w:lang w:val="sr-Latn-RS"/>
              </w:rPr>
              <w:t>14.012.314</w:t>
            </w:r>
          </w:p>
        </w:tc>
        <w:tc>
          <w:tcPr>
            <w:tcW w:w="1701"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11.148.000</w:t>
            </w:r>
          </w:p>
        </w:tc>
        <w:tc>
          <w:tcPr>
            <w:tcW w:w="1418"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9.172.000</w:t>
            </w:r>
          </w:p>
        </w:tc>
        <w:tc>
          <w:tcPr>
            <w:tcW w:w="1672"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15.529.000</w:t>
            </w:r>
          </w:p>
        </w:tc>
      </w:tr>
      <w:tr w:rsidR="00261842" w:rsidRPr="00C03E15" w:rsidTr="00C03E15">
        <w:tc>
          <w:tcPr>
            <w:tcW w:w="2122" w:type="dxa"/>
          </w:tcPr>
          <w:p w:rsidR="00261842" w:rsidRPr="00C03E15" w:rsidRDefault="00261842" w:rsidP="00C03E15">
            <w:pPr>
              <w:pStyle w:val="ParagraphNumbering"/>
              <w:numPr>
                <w:ilvl w:val="0"/>
                <w:numId w:val="0"/>
              </w:numPr>
              <w:spacing w:after="0" w:line="240" w:lineRule="auto"/>
              <w:rPr>
                <w:lang w:val="sr-Latn-RS"/>
              </w:rPr>
            </w:pPr>
            <w:r w:rsidRPr="00C03E15">
              <w:rPr>
                <w:sz w:val="22"/>
                <w:lang w:val="sr-Latn-RS"/>
              </w:rPr>
              <w:t>Ugovoreno</w:t>
            </w:r>
          </w:p>
        </w:tc>
        <w:tc>
          <w:tcPr>
            <w:tcW w:w="1984" w:type="dxa"/>
          </w:tcPr>
          <w:p w:rsidR="00261842" w:rsidRPr="00C03E15" w:rsidRDefault="00261842" w:rsidP="00C03E15">
            <w:pPr>
              <w:spacing w:line="240" w:lineRule="auto"/>
              <w:jc w:val="center"/>
              <w:rPr>
                <w:sz w:val="22"/>
                <w:szCs w:val="24"/>
                <w:lang w:val="sr-Latn-RS"/>
              </w:rPr>
            </w:pPr>
            <w:r w:rsidRPr="00C03E15">
              <w:rPr>
                <w:sz w:val="22"/>
                <w:szCs w:val="24"/>
                <w:lang w:val="sr-Latn-RS"/>
              </w:rPr>
              <w:t>10.380.075</w:t>
            </w:r>
          </w:p>
        </w:tc>
        <w:tc>
          <w:tcPr>
            <w:tcW w:w="1701"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7.062.000</w:t>
            </w:r>
          </w:p>
        </w:tc>
        <w:tc>
          <w:tcPr>
            <w:tcW w:w="1418"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8.124.000</w:t>
            </w:r>
          </w:p>
        </w:tc>
        <w:tc>
          <w:tcPr>
            <w:tcW w:w="1672"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13.667.000</w:t>
            </w:r>
          </w:p>
        </w:tc>
      </w:tr>
      <w:tr w:rsidR="00261842" w:rsidRPr="00C03E15" w:rsidTr="00C03E15">
        <w:tc>
          <w:tcPr>
            <w:tcW w:w="2122" w:type="dxa"/>
            <w:shd w:val="clear" w:color="auto" w:fill="DAEEF3"/>
          </w:tcPr>
          <w:p w:rsidR="00261842" w:rsidRPr="00C03E15" w:rsidRDefault="00261842" w:rsidP="00C03E15">
            <w:pPr>
              <w:pStyle w:val="ParagraphNumbering"/>
              <w:numPr>
                <w:ilvl w:val="0"/>
                <w:numId w:val="0"/>
              </w:numPr>
              <w:spacing w:after="0" w:line="240" w:lineRule="auto"/>
              <w:rPr>
                <w:lang w:val="sr-Latn-RS"/>
              </w:rPr>
            </w:pPr>
            <w:r w:rsidRPr="00C03E15">
              <w:rPr>
                <w:sz w:val="22"/>
                <w:lang w:val="sr-Latn-RS"/>
              </w:rPr>
              <w:t>Preko 3M</w:t>
            </w:r>
          </w:p>
        </w:tc>
        <w:tc>
          <w:tcPr>
            <w:tcW w:w="1984" w:type="dxa"/>
            <w:shd w:val="clear" w:color="auto" w:fill="DAEEF3"/>
          </w:tcPr>
          <w:p w:rsidR="00261842" w:rsidRPr="00C03E15" w:rsidRDefault="00261842" w:rsidP="00C03E15">
            <w:pPr>
              <w:spacing w:line="240" w:lineRule="auto"/>
              <w:jc w:val="center"/>
              <w:rPr>
                <w:sz w:val="22"/>
                <w:szCs w:val="24"/>
                <w:lang w:val="sr-Latn-RS"/>
              </w:rPr>
            </w:pPr>
            <w:r w:rsidRPr="00C03E15">
              <w:rPr>
                <w:sz w:val="22"/>
                <w:szCs w:val="24"/>
                <w:lang w:val="sr-Latn-RS"/>
              </w:rPr>
              <w:t>-</w:t>
            </w:r>
          </w:p>
        </w:tc>
        <w:tc>
          <w:tcPr>
            <w:tcW w:w="1701" w:type="dxa"/>
            <w:shd w:val="clear" w:color="auto" w:fill="DAEEF3"/>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3</w:t>
            </w:r>
          </w:p>
        </w:tc>
        <w:tc>
          <w:tcPr>
            <w:tcW w:w="1418" w:type="dxa"/>
            <w:shd w:val="clear" w:color="auto" w:fill="DAEEF3"/>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2</w:t>
            </w:r>
          </w:p>
        </w:tc>
        <w:tc>
          <w:tcPr>
            <w:tcW w:w="1672" w:type="dxa"/>
            <w:shd w:val="clear" w:color="auto" w:fill="DAEEF3"/>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w:t>
            </w:r>
          </w:p>
        </w:tc>
      </w:tr>
      <w:tr w:rsidR="00261842" w:rsidRPr="00C03E15" w:rsidTr="00C03E15">
        <w:tc>
          <w:tcPr>
            <w:tcW w:w="2122" w:type="dxa"/>
          </w:tcPr>
          <w:p w:rsidR="00261842" w:rsidRPr="00C03E15" w:rsidRDefault="00261842" w:rsidP="00C03E15">
            <w:pPr>
              <w:pStyle w:val="ParagraphNumbering"/>
              <w:numPr>
                <w:ilvl w:val="0"/>
                <w:numId w:val="0"/>
              </w:numPr>
              <w:spacing w:after="0" w:line="240" w:lineRule="auto"/>
              <w:rPr>
                <w:lang w:val="sr-Latn-RS"/>
              </w:rPr>
            </w:pPr>
            <w:r w:rsidRPr="00C03E15">
              <w:rPr>
                <w:sz w:val="22"/>
                <w:lang w:val="sr-Latn-RS"/>
              </w:rPr>
              <w:t>Procenjeno</w:t>
            </w:r>
          </w:p>
        </w:tc>
        <w:tc>
          <w:tcPr>
            <w:tcW w:w="1984" w:type="dxa"/>
          </w:tcPr>
          <w:p w:rsidR="00261842" w:rsidRPr="00C03E15" w:rsidRDefault="00261842" w:rsidP="00C03E15">
            <w:pPr>
              <w:spacing w:line="240" w:lineRule="auto"/>
              <w:jc w:val="center"/>
              <w:rPr>
                <w:sz w:val="22"/>
                <w:szCs w:val="24"/>
                <w:lang w:val="sr-Latn-RS"/>
              </w:rPr>
            </w:pPr>
            <w:r w:rsidRPr="00C03E15">
              <w:rPr>
                <w:sz w:val="22"/>
                <w:szCs w:val="24"/>
                <w:lang w:val="sr-Latn-RS"/>
              </w:rPr>
              <w:t>-</w:t>
            </w:r>
          </w:p>
        </w:tc>
        <w:tc>
          <w:tcPr>
            <w:tcW w:w="1701"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14.291.000</w:t>
            </w:r>
          </w:p>
        </w:tc>
        <w:tc>
          <w:tcPr>
            <w:tcW w:w="1418"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42.005.000</w:t>
            </w:r>
          </w:p>
        </w:tc>
        <w:tc>
          <w:tcPr>
            <w:tcW w:w="1672"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w:t>
            </w:r>
          </w:p>
        </w:tc>
      </w:tr>
      <w:tr w:rsidR="00261842" w:rsidRPr="00C03E15" w:rsidTr="00C03E15">
        <w:tc>
          <w:tcPr>
            <w:tcW w:w="2122" w:type="dxa"/>
          </w:tcPr>
          <w:p w:rsidR="00261842" w:rsidRPr="00C03E15" w:rsidRDefault="00261842" w:rsidP="00C03E15">
            <w:pPr>
              <w:pStyle w:val="ParagraphNumbering"/>
              <w:numPr>
                <w:ilvl w:val="0"/>
                <w:numId w:val="0"/>
              </w:numPr>
              <w:spacing w:after="0" w:line="240" w:lineRule="auto"/>
              <w:rPr>
                <w:lang w:val="sr-Latn-RS"/>
              </w:rPr>
            </w:pPr>
            <w:r w:rsidRPr="00C03E15">
              <w:rPr>
                <w:sz w:val="22"/>
                <w:lang w:val="sr-Latn-RS"/>
              </w:rPr>
              <w:t>Ugovoreno</w:t>
            </w:r>
          </w:p>
        </w:tc>
        <w:tc>
          <w:tcPr>
            <w:tcW w:w="1984" w:type="dxa"/>
          </w:tcPr>
          <w:p w:rsidR="00261842" w:rsidRPr="00C03E15" w:rsidRDefault="00261842" w:rsidP="00C03E15">
            <w:pPr>
              <w:spacing w:line="240" w:lineRule="auto"/>
              <w:jc w:val="center"/>
              <w:rPr>
                <w:sz w:val="22"/>
                <w:szCs w:val="24"/>
                <w:lang w:val="sr-Latn-RS"/>
              </w:rPr>
            </w:pPr>
            <w:r w:rsidRPr="00C03E15">
              <w:rPr>
                <w:sz w:val="22"/>
                <w:szCs w:val="24"/>
                <w:lang w:val="sr-Latn-RS"/>
              </w:rPr>
              <w:t>-</w:t>
            </w:r>
          </w:p>
        </w:tc>
        <w:tc>
          <w:tcPr>
            <w:tcW w:w="1701"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12.269.000</w:t>
            </w:r>
          </w:p>
        </w:tc>
        <w:tc>
          <w:tcPr>
            <w:tcW w:w="1418"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38.377.000</w:t>
            </w:r>
          </w:p>
        </w:tc>
        <w:tc>
          <w:tcPr>
            <w:tcW w:w="1672" w:type="dxa"/>
          </w:tcPr>
          <w:p w:rsidR="00261842" w:rsidRPr="00C03E15" w:rsidRDefault="00261842" w:rsidP="00C03E15">
            <w:pPr>
              <w:pStyle w:val="ParagraphNumbering"/>
              <w:numPr>
                <w:ilvl w:val="0"/>
                <w:numId w:val="0"/>
              </w:numPr>
              <w:spacing w:after="0" w:line="240" w:lineRule="auto"/>
              <w:jc w:val="center"/>
              <w:rPr>
                <w:sz w:val="22"/>
                <w:lang w:val="sr-Latn-RS"/>
              </w:rPr>
            </w:pPr>
            <w:r w:rsidRPr="00C03E15">
              <w:rPr>
                <w:sz w:val="22"/>
                <w:lang w:val="sr-Latn-RS"/>
              </w:rPr>
              <w:t>-</w:t>
            </w:r>
          </w:p>
        </w:tc>
      </w:tr>
    </w:tbl>
    <w:p w:rsidR="00261842" w:rsidRPr="001E4CDF" w:rsidRDefault="00261842">
      <w:pPr>
        <w:pStyle w:val="ParagraphNumbering"/>
        <w:numPr>
          <w:ilvl w:val="0"/>
          <w:numId w:val="0"/>
        </w:numPr>
        <w:rPr>
          <w:lang w:val="sr-Latn-RS"/>
        </w:rPr>
      </w:pPr>
    </w:p>
    <w:p w:rsidR="00261842" w:rsidRPr="001E4CDF" w:rsidRDefault="00261842">
      <w:pPr>
        <w:pStyle w:val="ParagraphNumbering"/>
        <w:numPr>
          <w:ilvl w:val="0"/>
          <w:numId w:val="0"/>
        </w:numPr>
        <w:spacing w:line="260" w:lineRule="auto"/>
        <w:rPr>
          <w:lang w:val="sr-Latn-RS"/>
        </w:rPr>
      </w:pPr>
      <w:r w:rsidRPr="001E4CDF">
        <w:rPr>
          <w:lang w:val="sr-Latn-RS"/>
        </w:rPr>
        <w:t xml:space="preserve">Nije bilo </w:t>
      </w:r>
      <w:proofErr w:type="spellStart"/>
      <w:r w:rsidR="00CF6E51">
        <w:rPr>
          <w:lang w:val="sr-Latn-RS"/>
        </w:rPr>
        <w:t>vankonkurentskih</w:t>
      </w:r>
      <w:proofErr w:type="spellEnd"/>
      <w:r w:rsidR="00CF6E51">
        <w:rPr>
          <w:lang w:val="sr-Latn-RS"/>
        </w:rPr>
        <w:t xml:space="preserve"> </w:t>
      </w:r>
      <w:r w:rsidRPr="001E4CDF">
        <w:rPr>
          <w:lang w:val="sr-Latn-RS"/>
        </w:rPr>
        <w:t>procedura nabavki.</w:t>
      </w:r>
    </w:p>
    <w:p w:rsidR="00261842" w:rsidRPr="001E4CDF" w:rsidRDefault="00261842">
      <w:pPr>
        <w:pStyle w:val="ParagraphNumbering"/>
        <w:numPr>
          <w:ilvl w:val="0"/>
          <w:numId w:val="0"/>
        </w:numPr>
        <w:spacing w:line="260" w:lineRule="auto"/>
        <w:rPr>
          <w:lang w:val="sr-Latn-RS"/>
        </w:rPr>
      </w:pPr>
      <w:r w:rsidRPr="001E4CDF">
        <w:rPr>
          <w:lang w:val="sr-Latn-RS"/>
        </w:rPr>
        <w:t>Ocena A</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w:t>
      </w:r>
      <w:proofErr w:type="spellStart"/>
      <w:r w:rsidRPr="001E4CDF">
        <w:rPr>
          <w:b/>
          <w:szCs w:val="24"/>
          <w:lang w:val="sr-Latn-RS"/>
        </w:rPr>
        <w:t>iii</w:t>
      </w:r>
      <w:proofErr w:type="spellEnd"/>
      <w:r w:rsidRPr="001E4CDF">
        <w:rPr>
          <w:b/>
          <w:szCs w:val="24"/>
          <w:lang w:val="sr-Latn-RS"/>
        </w:rPr>
        <w:t>) Javni pristup kompletnim, pouzdanim i blagovremenim informacijama o nabavkama</w:t>
      </w:r>
    </w:p>
    <w:p w:rsidR="00261842" w:rsidRPr="003227E0" w:rsidRDefault="00261842">
      <w:pPr>
        <w:tabs>
          <w:tab w:val="num" w:pos="720"/>
          <w:tab w:val="num" w:pos="1146"/>
        </w:tabs>
        <w:spacing w:after="120" w:line="260" w:lineRule="auto"/>
        <w:jc w:val="both"/>
        <w:rPr>
          <w:szCs w:val="24"/>
          <w:lang w:val="sr-Latn-RS"/>
        </w:rPr>
      </w:pPr>
      <w:r w:rsidRPr="003227E0">
        <w:rPr>
          <w:szCs w:val="24"/>
          <w:lang w:val="sr-Latn-RS"/>
        </w:rPr>
        <w:t xml:space="preserve">Informacije se objavljuju istovremeno na zvaničnom sajtu grada i Portalu javnih nabavki, u skladu sa čl. 20 ZJN i Internim aktom. Dodatne informacije mogu se zatražiti u skladu sa Zakonom o slobodnom pristupu informacijama od javnog značaja („Službeni glasnik RS“, br. 120/2004, 54/2007, 104/2009 i 36/2010). Postoje kvartalni izveštaji koji se šalju Upravi za javne nabavke i Državnoj revizorskoj agenciji  </w:t>
      </w:r>
    </w:p>
    <w:p w:rsidR="00261842" w:rsidRPr="003227E0" w:rsidRDefault="00261842">
      <w:pPr>
        <w:tabs>
          <w:tab w:val="num" w:pos="720"/>
          <w:tab w:val="num" w:pos="1146"/>
        </w:tabs>
        <w:spacing w:after="120" w:line="260" w:lineRule="auto"/>
        <w:jc w:val="both"/>
        <w:rPr>
          <w:szCs w:val="24"/>
          <w:lang w:val="sr-Latn-RS"/>
        </w:rPr>
      </w:pPr>
      <w:r w:rsidRPr="003227E0">
        <w:rPr>
          <w:szCs w:val="24"/>
          <w:lang w:val="sr-Latn-RS"/>
        </w:rPr>
        <w:t xml:space="preserve">Ove informacije obuhvataju </w:t>
      </w:r>
    </w:p>
    <w:p w:rsidR="00261842" w:rsidRPr="001E4CDF" w:rsidRDefault="00261842">
      <w:pPr>
        <w:pStyle w:val="ListParagraph"/>
        <w:numPr>
          <w:ilvl w:val="0"/>
          <w:numId w:val="34"/>
        </w:numPr>
        <w:tabs>
          <w:tab w:val="num" w:pos="1146"/>
        </w:tabs>
        <w:spacing w:after="120" w:line="260" w:lineRule="auto"/>
        <w:jc w:val="both"/>
        <w:rPr>
          <w:szCs w:val="24"/>
          <w:lang w:val="sr-Latn-RS"/>
        </w:rPr>
      </w:pPr>
      <w:r w:rsidRPr="001E4CDF">
        <w:rPr>
          <w:szCs w:val="24"/>
          <w:lang w:val="sr-Latn-RS"/>
        </w:rPr>
        <w:t>Plan nabavke: Zakon o javnim nabavkama, član 51</w:t>
      </w:r>
    </w:p>
    <w:p w:rsidR="00261842" w:rsidRPr="001E4CDF" w:rsidRDefault="00261842">
      <w:pPr>
        <w:pStyle w:val="ListParagraph"/>
        <w:numPr>
          <w:ilvl w:val="0"/>
          <w:numId w:val="34"/>
        </w:numPr>
        <w:tabs>
          <w:tab w:val="num" w:pos="1146"/>
        </w:tabs>
        <w:spacing w:after="120" w:line="260" w:lineRule="auto"/>
        <w:jc w:val="both"/>
        <w:rPr>
          <w:szCs w:val="24"/>
          <w:lang w:val="sr-Latn-RS"/>
        </w:rPr>
      </w:pPr>
      <w:r w:rsidRPr="001E4CDF">
        <w:rPr>
          <w:szCs w:val="24"/>
          <w:lang w:val="sr-Latn-RS"/>
        </w:rPr>
        <w:t>Mogućnosti konkurisanja: Član 3. kojim definišu pojmovi, čl. 10. Opština je u obavezi da obezbedi najveći mogući stepen konkurencije</w:t>
      </w:r>
      <w:r w:rsidRPr="001E4CDF">
        <w:rPr>
          <w:rStyle w:val="hps"/>
          <w:szCs w:val="24"/>
          <w:lang w:val="sr-Latn-RS"/>
        </w:rPr>
        <w:t>, čl. 12. Opština (</w:t>
      </w:r>
      <w:r w:rsidRPr="001E4CDF">
        <w:rPr>
          <w:rStyle w:val="hps"/>
          <w:i/>
          <w:szCs w:val="24"/>
          <w:lang w:val="sr-Latn-RS"/>
        </w:rPr>
        <w:t>kao kupac</w:t>
      </w:r>
      <w:r w:rsidRPr="001E4CDF">
        <w:rPr>
          <w:rStyle w:val="hps"/>
          <w:szCs w:val="24"/>
          <w:lang w:val="sr-Latn-RS"/>
        </w:rPr>
        <w:t>) je u obavezi da obezbedi isti status svim ponuđačima u svim fazama javne nabavke</w:t>
      </w:r>
    </w:p>
    <w:p w:rsidR="00261842" w:rsidRPr="001E4CDF" w:rsidRDefault="00261842">
      <w:pPr>
        <w:pStyle w:val="ListParagraph"/>
        <w:numPr>
          <w:ilvl w:val="0"/>
          <w:numId w:val="34"/>
        </w:numPr>
        <w:tabs>
          <w:tab w:val="num" w:pos="1146"/>
        </w:tabs>
        <w:spacing w:after="120" w:line="260" w:lineRule="auto"/>
        <w:jc w:val="both"/>
        <w:rPr>
          <w:szCs w:val="24"/>
          <w:lang w:val="sr-Latn-RS"/>
        </w:rPr>
      </w:pPr>
      <w:r w:rsidRPr="001E4CDF">
        <w:rPr>
          <w:szCs w:val="24"/>
          <w:lang w:val="sr-Latn-RS"/>
        </w:rPr>
        <w:t>Dodeljivanje ugovora: Čl. 107. Određuje uslove za dodeljivanje ugovora, čl. 112. Određuje sve neophodne uslove za zaključenje ugovora, čl. 13. se odnosi na rokove.</w:t>
      </w:r>
    </w:p>
    <w:p w:rsidR="00261842" w:rsidRPr="001E4CDF" w:rsidRDefault="00261842">
      <w:pPr>
        <w:pStyle w:val="ListParagraph"/>
        <w:numPr>
          <w:ilvl w:val="0"/>
          <w:numId w:val="34"/>
        </w:numPr>
        <w:tabs>
          <w:tab w:val="num" w:pos="1146"/>
        </w:tabs>
        <w:spacing w:after="120" w:line="260" w:lineRule="auto"/>
        <w:jc w:val="both"/>
        <w:rPr>
          <w:szCs w:val="24"/>
          <w:lang w:val="sr-Latn-RS"/>
        </w:rPr>
      </w:pPr>
      <w:r w:rsidRPr="001E4CDF">
        <w:rPr>
          <w:szCs w:val="24"/>
          <w:lang w:val="sr-Latn-RS"/>
        </w:rPr>
        <w:t>Žalbe: Poglavlje VIII Zakona.</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Ocena A</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 xml:space="preserve"> (</w:t>
      </w:r>
      <w:proofErr w:type="spellStart"/>
      <w:r w:rsidRPr="001E4CDF">
        <w:rPr>
          <w:b/>
          <w:szCs w:val="24"/>
          <w:lang w:val="sr-Latn-RS"/>
        </w:rPr>
        <w:t>iv</w:t>
      </w:r>
      <w:proofErr w:type="spellEnd"/>
      <w:r w:rsidRPr="001E4CDF">
        <w:rPr>
          <w:b/>
          <w:szCs w:val="24"/>
          <w:lang w:val="sr-Latn-RS"/>
        </w:rPr>
        <w:t>) Postojanje nezavisnog upravnog mehanizma za podnošenje žalbi u postupcima javnih nabavki</w:t>
      </w:r>
    </w:p>
    <w:p w:rsidR="00261842" w:rsidRDefault="00261842" w:rsidP="003227E0">
      <w:pPr>
        <w:pStyle w:val="ParagraphNumbering"/>
        <w:numPr>
          <w:ilvl w:val="0"/>
          <w:numId w:val="0"/>
        </w:numPr>
        <w:spacing w:line="260" w:lineRule="auto"/>
        <w:jc w:val="both"/>
        <w:rPr>
          <w:lang w:val="sr-Latn-RS"/>
        </w:rPr>
      </w:pPr>
      <w:r w:rsidRPr="001E4CDF">
        <w:rPr>
          <w:lang w:val="sr-Latn-RS"/>
        </w:rPr>
        <w:t xml:space="preserve">Žalbe se blagovremeno rešavaju u skladu sa Poglavljem VIII Zakona o javnim nabavkama. O žalbama odlučuje Republička komisija za zaštitu prava ponuđača, koja je nezavisno telo.  U sastavu Komisije, koji je određen ZJN (članovi 140 i 141), je Predsednik i šest članova koje imenuje parlament na period od pet godina. Predsednik i članovi moraju da ispunjavaju uslove za sudije prvostepenih sudova, a Predsednik mora da ima pet godina radnog iskustva u oblasti javnih nabavki. </w:t>
      </w:r>
    </w:p>
    <w:p w:rsidR="00606DF8" w:rsidRPr="001E4CDF" w:rsidRDefault="00606DF8" w:rsidP="003227E0">
      <w:pPr>
        <w:pStyle w:val="ParagraphNumbering"/>
        <w:numPr>
          <w:ilvl w:val="0"/>
          <w:numId w:val="0"/>
        </w:numPr>
        <w:spacing w:line="260" w:lineRule="auto"/>
        <w:jc w:val="both"/>
        <w:rPr>
          <w:lang w:val="sr-Latn-RS"/>
        </w:rPr>
      </w:pPr>
      <w:r>
        <w:rPr>
          <w:lang w:val="sr-Latn-RS"/>
        </w:rPr>
        <w:lastRenderedPageBreak/>
        <w:t>Članovi su zaposleni republičke Komisije i zapošljavaju se na osnovu kvalifikacija i odgovarajućeg iskustva. Komisija uspostavlja spisak stručnjaka koji učestvuju u radu Komisije po potrebi. Kako bi bio registrovan na tom spisku, pojedinac treba da se nalazi na spisku sudskih veštaka i da položi ispit za službenika za javne nabavke (član 143 Zakona o javnim nabavkama).</w:t>
      </w:r>
    </w:p>
    <w:p w:rsidR="00261842" w:rsidRPr="001E4CDF" w:rsidRDefault="00261842">
      <w:pPr>
        <w:pStyle w:val="ParagraphNumbering"/>
        <w:numPr>
          <w:ilvl w:val="0"/>
          <w:numId w:val="0"/>
        </w:numPr>
        <w:spacing w:line="260" w:lineRule="auto"/>
        <w:rPr>
          <w:lang w:val="sr-Latn-RS"/>
        </w:rPr>
      </w:pPr>
      <w:r w:rsidRPr="001E4CDF">
        <w:rPr>
          <w:lang w:val="sr-Latn-RS"/>
        </w:rPr>
        <w:t>Opštini i Direkciji nije podneta nijedna žalba u 2013. i 2014. godini.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340"/>
      </w:tblGrid>
      <w:tr w:rsidR="00261842" w:rsidRPr="00C03E15" w:rsidTr="00C03E15">
        <w:tc>
          <w:tcPr>
            <w:tcW w:w="8990" w:type="dxa"/>
            <w:gridSpan w:val="2"/>
          </w:tcPr>
          <w:p w:rsidR="00261842" w:rsidRPr="00C03E15" w:rsidRDefault="00261842" w:rsidP="00C03E15">
            <w:pPr>
              <w:pStyle w:val="ParagraphNumbering"/>
              <w:numPr>
                <w:ilvl w:val="0"/>
                <w:numId w:val="0"/>
              </w:numPr>
              <w:spacing w:after="0" w:line="240" w:lineRule="auto"/>
              <w:jc w:val="center"/>
              <w:rPr>
                <w:lang w:val="sr-Latn-RS"/>
              </w:rPr>
            </w:pPr>
            <w:r w:rsidRPr="00C03E15">
              <w:rPr>
                <w:lang w:val="sr-Latn-RS"/>
              </w:rPr>
              <w:t>Karakteristike žalbenog postupka - organa</w:t>
            </w:r>
          </w:p>
        </w:tc>
      </w:tr>
      <w:tr w:rsidR="00261842" w:rsidRPr="00C03E15" w:rsidTr="00C03E15">
        <w:tc>
          <w:tcPr>
            <w:tcW w:w="765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 xml:space="preserve">(i) se sastoji od iskusnih profesionalaca, koji su upoznati sa pravnim okvirom za nabavke, i uključuje članove iz privatnog sektora i civilnog društva, kao i vlade  </w:t>
            </w:r>
          </w:p>
        </w:tc>
        <w:tc>
          <w:tcPr>
            <w:tcW w:w="134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Da</w:t>
            </w:r>
          </w:p>
        </w:tc>
      </w:tr>
      <w:tr w:rsidR="00261842" w:rsidRPr="00C03E15" w:rsidTr="00C03E15">
        <w:tc>
          <w:tcPr>
            <w:tcW w:w="765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w:t>
            </w:r>
            <w:proofErr w:type="spellStart"/>
            <w:r w:rsidRPr="00C03E15">
              <w:rPr>
                <w:lang w:val="sr-Latn-RS"/>
              </w:rPr>
              <w:t>ii</w:t>
            </w:r>
            <w:proofErr w:type="spellEnd"/>
            <w:r w:rsidRPr="00C03E15">
              <w:rPr>
                <w:lang w:val="sr-Latn-RS"/>
              </w:rPr>
              <w:t xml:space="preserve">) nije uključena u bilo kom svojstvu u postupak nabavke ili u procesu koji vodi ka odluci o dodeli ugovora  </w:t>
            </w:r>
          </w:p>
        </w:tc>
        <w:tc>
          <w:tcPr>
            <w:tcW w:w="134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Da</w:t>
            </w:r>
          </w:p>
        </w:tc>
      </w:tr>
      <w:tr w:rsidR="00261842" w:rsidRPr="00C03E15" w:rsidTr="00C03E15">
        <w:tc>
          <w:tcPr>
            <w:tcW w:w="765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w:t>
            </w:r>
            <w:proofErr w:type="spellStart"/>
            <w:r w:rsidRPr="00C03E15">
              <w:rPr>
                <w:lang w:val="sr-Latn-RS"/>
              </w:rPr>
              <w:t>iii</w:t>
            </w:r>
            <w:proofErr w:type="spellEnd"/>
            <w:r w:rsidRPr="00C03E15">
              <w:rPr>
                <w:lang w:val="sr-Latn-RS"/>
              </w:rPr>
              <w:t xml:space="preserve">) ne naplaćuje takse koje sprečavaju pristup zainteresovanim stranama;  </w:t>
            </w:r>
          </w:p>
        </w:tc>
        <w:tc>
          <w:tcPr>
            <w:tcW w:w="134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Da</w:t>
            </w:r>
          </w:p>
        </w:tc>
      </w:tr>
      <w:tr w:rsidR="00261842" w:rsidRPr="00C03E15" w:rsidTr="00C03E15">
        <w:tc>
          <w:tcPr>
            <w:tcW w:w="765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w:t>
            </w:r>
            <w:proofErr w:type="spellStart"/>
            <w:r w:rsidRPr="00C03E15">
              <w:rPr>
                <w:lang w:val="sr-Latn-RS"/>
              </w:rPr>
              <w:t>iv</w:t>
            </w:r>
            <w:proofErr w:type="spellEnd"/>
            <w:r w:rsidRPr="00C03E15">
              <w:rPr>
                <w:lang w:val="sr-Latn-RS"/>
              </w:rPr>
              <w:t xml:space="preserve">) prati procese za podnošenje i rešavanje žalbi koji su jasno definisani i javno dostupni  </w:t>
            </w:r>
          </w:p>
        </w:tc>
        <w:tc>
          <w:tcPr>
            <w:tcW w:w="134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Da</w:t>
            </w:r>
          </w:p>
        </w:tc>
      </w:tr>
      <w:tr w:rsidR="00261842" w:rsidRPr="00C03E15" w:rsidTr="00C03E15">
        <w:tc>
          <w:tcPr>
            <w:tcW w:w="765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 xml:space="preserve">(v) primenjuje ovlašćenja da suspenduje proces nabavke;   </w:t>
            </w:r>
          </w:p>
        </w:tc>
        <w:tc>
          <w:tcPr>
            <w:tcW w:w="134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Da</w:t>
            </w:r>
          </w:p>
        </w:tc>
      </w:tr>
      <w:tr w:rsidR="00261842" w:rsidRPr="00C03E15" w:rsidTr="00C03E15">
        <w:tc>
          <w:tcPr>
            <w:tcW w:w="765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 xml:space="preserve">(vi) donosi odluke u roku određenom u pravilima / propisima </w:t>
            </w:r>
          </w:p>
        </w:tc>
        <w:tc>
          <w:tcPr>
            <w:tcW w:w="134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Da</w:t>
            </w:r>
          </w:p>
        </w:tc>
      </w:tr>
      <w:tr w:rsidR="00261842" w:rsidRPr="00C03E15" w:rsidTr="00C03E15">
        <w:tc>
          <w:tcPr>
            <w:tcW w:w="7650" w:type="dxa"/>
          </w:tcPr>
          <w:p w:rsidR="00261842" w:rsidRPr="00C03E15" w:rsidRDefault="00261842" w:rsidP="00C03E15">
            <w:pPr>
              <w:spacing w:line="240" w:lineRule="auto"/>
              <w:jc w:val="both"/>
              <w:rPr>
                <w:szCs w:val="24"/>
                <w:lang w:val="sr-Latn-RS"/>
              </w:rPr>
            </w:pPr>
            <w:r w:rsidRPr="00C03E15">
              <w:rPr>
                <w:szCs w:val="24"/>
                <w:lang w:val="sr-Latn-RS"/>
              </w:rPr>
              <w:t>(</w:t>
            </w:r>
            <w:proofErr w:type="spellStart"/>
            <w:r w:rsidRPr="00C03E15">
              <w:rPr>
                <w:szCs w:val="24"/>
                <w:lang w:val="sr-Latn-RS"/>
              </w:rPr>
              <w:t>vii</w:t>
            </w:r>
            <w:proofErr w:type="spellEnd"/>
            <w:r w:rsidRPr="00C03E15">
              <w:rPr>
                <w:szCs w:val="24"/>
                <w:lang w:val="sr-Latn-RS"/>
              </w:rPr>
              <w:t xml:space="preserve">) donosi odluke koje su obavezujuće za sve strane (bez isključivanja naknadnog pristupa eksternoj višoj instanci)  </w:t>
            </w:r>
          </w:p>
        </w:tc>
        <w:tc>
          <w:tcPr>
            <w:tcW w:w="1340" w:type="dxa"/>
          </w:tcPr>
          <w:p w:rsidR="00261842" w:rsidRPr="00C03E15" w:rsidRDefault="00261842" w:rsidP="00C03E15">
            <w:pPr>
              <w:pStyle w:val="ParagraphNumbering"/>
              <w:numPr>
                <w:ilvl w:val="0"/>
                <w:numId w:val="0"/>
              </w:numPr>
              <w:spacing w:after="0" w:line="240" w:lineRule="auto"/>
              <w:rPr>
                <w:lang w:val="sr-Latn-RS"/>
              </w:rPr>
            </w:pPr>
            <w:r w:rsidRPr="00C03E15">
              <w:rPr>
                <w:lang w:val="sr-Latn-RS"/>
              </w:rPr>
              <w:t>Da</w:t>
            </w:r>
          </w:p>
        </w:tc>
      </w:tr>
    </w:tbl>
    <w:p w:rsidR="00261842" w:rsidRPr="001E4CDF" w:rsidRDefault="00261842">
      <w:pPr>
        <w:pStyle w:val="ParagraphNumbering"/>
        <w:numPr>
          <w:ilvl w:val="0"/>
          <w:numId w:val="0"/>
        </w:numPr>
        <w:rPr>
          <w:lang w:val="sr-Latn-RS"/>
        </w:rPr>
      </w:pPr>
    </w:p>
    <w:p w:rsidR="00261842" w:rsidRPr="001E4CDF" w:rsidRDefault="00261842" w:rsidP="003227E0">
      <w:pPr>
        <w:pStyle w:val="ParagraphNumbering"/>
        <w:numPr>
          <w:ilvl w:val="0"/>
          <w:numId w:val="0"/>
        </w:numPr>
        <w:spacing w:line="260" w:lineRule="auto"/>
        <w:jc w:val="both"/>
        <w:rPr>
          <w:lang w:val="sr-Latn-RS"/>
        </w:rPr>
      </w:pPr>
      <w:r w:rsidRPr="001E4CDF">
        <w:rPr>
          <w:lang w:val="sr-Latn-RS"/>
        </w:rPr>
        <w:t xml:space="preserve">Ponuđači imaju pravo da podnesu žalbu u svim fazama tenderskog postupka.  Takse se razlikuju u zavisnosti od samog tendera i iznose RSD 40.000 za tendere vrednosti od RSD 400.000 do RSD 3.000.000 a RSD 80.000 za tendere vrednosti od RSD 3.000.000 do RSD 80.000.000 i 0,1% vrednosti tendera ukoliko ona prelazi RSD 80.000.000. Ako se žalba usvoji, opština mora da izvrši povraćaj </w:t>
      </w:r>
      <w:proofErr w:type="spellStart"/>
      <w:r w:rsidRPr="001E4CDF">
        <w:rPr>
          <w:lang w:val="sr-Latn-RS"/>
        </w:rPr>
        <w:t>uplaćene</w:t>
      </w:r>
      <w:proofErr w:type="spellEnd"/>
      <w:r w:rsidRPr="001E4CDF">
        <w:rPr>
          <w:lang w:val="sr-Latn-RS"/>
        </w:rPr>
        <w:t xml:space="preserve"> takse ponuđaču. </w:t>
      </w:r>
    </w:p>
    <w:p w:rsidR="00261842" w:rsidRPr="001E4CDF" w:rsidRDefault="00261842" w:rsidP="003227E0">
      <w:pPr>
        <w:pStyle w:val="ParagraphNumbering"/>
        <w:numPr>
          <w:ilvl w:val="0"/>
          <w:numId w:val="0"/>
        </w:numPr>
        <w:spacing w:line="260" w:lineRule="auto"/>
        <w:jc w:val="both"/>
        <w:rPr>
          <w:lang w:val="sr-Latn-RS"/>
        </w:rPr>
      </w:pPr>
      <w:r w:rsidRPr="001E4CDF">
        <w:rPr>
          <w:lang w:val="sr-Latn-RS"/>
        </w:rPr>
        <w:t>U razgovorima sa Privrednom komorom je pokazalo se da njeni članovi nisu imali bilo kakvih problema sa sistemom nabavki u opštini u smislu pravnog osnova.  Međutim čini se da su procedure nabavke zahtevne u smislu vremena i dokumentacije.</w:t>
      </w:r>
    </w:p>
    <w:p w:rsidR="00261842" w:rsidRPr="001E4CDF" w:rsidRDefault="00261842">
      <w:pPr>
        <w:pStyle w:val="ParagraphNumbering"/>
        <w:numPr>
          <w:ilvl w:val="0"/>
          <w:numId w:val="0"/>
        </w:numPr>
        <w:spacing w:line="260" w:lineRule="auto"/>
        <w:rPr>
          <w:lang w:val="sr-Latn-RS"/>
        </w:rPr>
      </w:pPr>
      <w:r w:rsidRPr="001E4CDF">
        <w:rPr>
          <w:lang w:val="sr-Latn-RS"/>
        </w:rPr>
        <w:t>Ocena A</w:t>
      </w:r>
    </w:p>
    <w:p w:rsidR="00261842" w:rsidRPr="001E4CDF" w:rsidRDefault="00261842">
      <w:pPr>
        <w:pStyle w:val="ParagraphNumbering"/>
        <w:numPr>
          <w:ilvl w:val="0"/>
          <w:numId w:val="0"/>
        </w:numPr>
        <w:rPr>
          <w:lang w:val="sr-Latn-RS"/>
        </w:rPr>
      </w:pPr>
    </w:p>
    <w:p w:rsidR="00261842" w:rsidRPr="001E4CDF" w:rsidRDefault="00261842">
      <w:pPr>
        <w:spacing w:line="260" w:lineRule="auto"/>
        <w:rPr>
          <w:b/>
          <w:szCs w:val="24"/>
          <w:lang w:val="sr-Latn-RS"/>
        </w:rPr>
      </w:pPr>
      <w:r w:rsidRPr="001E4CDF">
        <w:rPr>
          <w:b/>
          <w:szCs w:val="24"/>
          <w:lang w:val="sr-Latn-RS"/>
        </w:rPr>
        <w:t>PU-20 Efikasnost internih kontrola za rashode koji se ne odnose na plate</w:t>
      </w:r>
    </w:p>
    <w:p w:rsidR="00261842" w:rsidRPr="001E4CDF" w:rsidRDefault="00261842">
      <w:pPr>
        <w:rPr>
          <w:szCs w:val="24"/>
          <w:lang w:val="sr-Latn-RS"/>
        </w:rPr>
      </w:pPr>
    </w:p>
    <w:tbl>
      <w:tblPr>
        <w:tblW w:w="8956" w:type="dxa"/>
        <w:tblInd w:w="83" w:type="dxa"/>
        <w:tblLayout w:type="fixed"/>
        <w:tblLook w:val="0000" w:firstRow="0" w:lastRow="0" w:firstColumn="0" w:lastColumn="0" w:noHBand="0" w:noVBand="0"/>
      </w:tblPr>
      <w:tblGrid>
        <w:gridCol w:w="2860"/>
        <w:gridCol w:w="1134"/>
        <w:gridCol w:w="4962"/>
      </w:tblGrid>
      <w:tr w:rsidR="00261842" w:rsidRPr="00025057">
        <w:trPr>
          <w:trHeight w:val="293"/>
        </w:trPr>
        <w:tc>
          <w:tcPr>
            <w:tcW w:w="2860"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6096" w:type="dxa"/>
            <w:gridSpan w:val="2"/>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2860"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1134"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color w:val="000000"/>
                <w:sz w:val="20"/>
                <w:szCs w:val="24"/>
                <w:lang w:val="sr-Latn-RS"/>
              </w:rPr>
            </w:pPr>
            <w:r w:rsidRPr="00C03E15">
              <w:rPr>
                <w:color w:val="000000"/>
                <w:sz w:val="20"/>
                <w:szCs w:val="24"/>
                <w:lang w:val="sr-Latn-RS"/>
              </w:rPr>
              <w:t>2014</w:t>
            </w:r>
          </w:p>
        </w:tc>
        <w:tc>
          <w:tcPr>
            <w:tcW w:w="4962"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Objašnjenje</w:t>
            </w:r>
          </w:p>
        </w:tc>
      </w:tr>
      <w:tr w:rsidR="00261842" w:rsidRPr="001E4CDF">
        <w:trPr>
          <w:trHeight w:val="252"/>
        </w:trPr>
        <w:tc>
          <w:tcPr>
            <w:tcW w:w="2860" w:type="dxa"/>
            <w:tcBorders>
              <w:top w:val="single" w:sz="8" w:space="0" w:color="000000"/>
              <w:lef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b/>
                <w:sz w:val="20"/>
                <w:szCs w:val="24"/>
                <w:lang w:val="sr-Latn-RS"/>
              </w:rPr>
              <w:t xml:space="preserve">PU-20 Efikasnost internih </w:t>
            </w:r>
            <w:r w:rsidRPr="00C03E15">
              <w:rPr>
                <w:b/>
                <w:sz w:val="20"/>
                <w:szCs w:val="24"/>
                <w:lang w:val="sr-Latn-RS"/>
              </w:rPr>
              <w:lastRenderedPageBreak/>
              <w:t>kontrola za rashode koji se ne odnose na plate</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b/>
                <w:color w:val="000000"/>
                <w:sz w:val="20"/>
                <w:szCs w:val="24"/>
                <w:lang w:val="sr-Latn-RS"/>
              </w:rPr>
              <w:lastRenderedPageBreak/>
              <w:t>Ocena C+</w:t>
            </w:r>
          </w:p>
          <w:p w:rsidR="00261842" w:rsidRPr="001E4CDF" w:rsidRDefault="00261842">
            <w:pPr>
              <w:widowControl w:val="0"/>
              <w:suppressAutoHyphens/>
              <w:autoSpaceDE w:val="0"/>
              <w:adjustRightInd w:val="0"/>
              <w:snapToGrid w:val="0"/>
              <w:spacing w:line="240" w:lineRule="auto"/>
              <w:jc w:val="center"/>
              <w:textAlignment w:val="baseline"/>
              <w:rPr>
                <w:rFonts w:ascii="Arial" w:hAnsi="Arial"/>
                <w:b/>
                <w:color w:val="000000"/>
                <w:sz w:val="20"/>
                <w:szCs w:val="24"/>
                <w:lang w:val="sr-Latn-RS"/>
              </w:rPr>
            </w:pPr>
          </w:p>
        </w:tc>
        <w:tc>
          <w:tcPr>
            <w:tcW w:w="4962" w:type="dxa"/>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suppressAutoHyphens/>
              <w:autoSpaceDE w:val="0"/>
              <w:adjustRightInd w:val="0"/>
              <w:snapToGrid w:val="0"/>
              <w:spacing w:line="240" w:lineRule="auto"/>
              <w:textAlignment w:val="baseline"/>
              <w:rPr>
                <w:rFonts w:ascii="Arial" w:hAnsi="Arial"/>
                <w:color w:val="000000"/>
                <w:sz w:val="20"/>
                <w:szCs w:val="24"/>
                <w:lang w:val="sr-Latn-RS"/>
              </w:rPr>
            </w:pPr>
          </w:p>
        </w:tc>
      </w:tr>
      <w:tr w:rsidR="00261842" w:rsidRPr="00025057">
        <w:trPr>
          <w:trHeight w:val="252"/>
        </w:trPr>
        <w:tc>
          <w:tcPr>
            <w:tcW w:w="2860" w:type="dxa"/>
            <w:tcBorders>
              <w:top w:val="single" w:sz="8" w:space="0" w:color="000000"/>
              <w:lef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0"/>
                <w:szCs w:val="24"/>
                <w:lang w:val="sr-Latn-RS"/>
              </w:rPr>
              <w:lastRenderedPageBreak/>
              <w:t>(i) Efikasnost kontrola preuzimanja obaveza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C</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Kontrola preuzimanja za rashode postoji i delimično je efikasna, ali moguće je da ne obuhvata sve rashode ili da se povremeno krši.</w:t>
            </w:r>
          </w:p>
        </w:tc>
      </w:tr>
      <w:tr w:rsidR="00261842" w:rsidRPr="00025057">
        <w:trPr>
          <w:trHeight w:val="252"/>
        </w:trPr>
        <w:tc>
          <w:tcPr>
            <w:tcW w:w="2860" w:type="dxa"/>
            <w:tcBorders>
              <w:top w:val="single" w:sz="8" w:space="0" w:color="000000"/>
              <w:left w:val="single" w:sz="8" w:space="0" w:color="000000"/>
              <w:bottom w:val="single" w:sz="4" w:space="0" w:color="auto"/>
            </w:tcBorders>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xml:space="preserve">) </w:t>
            </w:r>
            <w:proofErr w:type="spellStart"/>
            <w:r w:rsidRPr="00C03E15">
              <w:rPr>
                <w:sz w:val="20"/>
                <w:szCs w:val="24"/>
                <w:lang w:val="sr-Latn-RS"/>
              </w:rPr>
              <w:t>Sveobuhvatnost</w:t>
            </w:r>
            <w:proofErr w:type="spellEnd"/>
            <w:r w:rsidRPr="00C03E15">
              <w:rPr>
                <w:sz w:val="20"/>
                <w:szCs w:val="24"/>
                <w:lang w:val="sr-Latn-RS"/>
              </w:rPr>
              <w:t>, relevantnost i razumevanje ostalih pravila/postupaka internih kontrola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C</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Ostala pravila/procedure za internu kontrolu sastoje se od osnovnog skupa pravila za obradu i evidentiranje transakcija koja su razumljiva neposredno zaduženima za njihovu primenu. Neka pravila i procedure su previše detaljni, dok su kontrole manjkave u oblastima od manjeg značaja.</w:t>
            </w:r>
          </w:p>
        </w:tc>
      </w:tr>
      <w:tr w:rsidR="00261842" w:rsidRPr="00025057">
        <w:trPr>
          <w:trHeight w:val="252"/>
        </w:trPr>
        <w:tc>
          <w:tcPr>
            <w:tcW w:w="2860" w:type="dxa"/>
            <w:tcBorders>
              <w:top w:val="single" w:sz="4" w:space="0" w:color="auto"/>
              <w:left w:val="single" w:sz="4" w:space="0" w:color="auto"/>
              <w:bottom w:val="single" w:sz="4" w:space="0" w:color="auto"/>
              <w:right w:val="single" w:sz="4" w:space="0" w:color="auto"/>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Stepen usklađenosti sa pravilima za obradu i evidentiranje transakcija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A</w:t>
            </w:r>
          </w:p>
        </w:tc>
        <w:tc>
          <w:tcPr>
            <w:tcW w:w="4962"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color w:val="000000"/>
                <w:sz w:val="20"/>
                <w:szCs w:val="24"/>
                <w:lang w:val="sr-Latn-RS"/>
              </w:rPr>
              <w:t xml:space="preserve">Stepen poštovanja pravila je izuzetno visok i zloupotreba skraćenih i vanrednih procedura je neznatna.  </w:t>
            </w:r>
          </w:p>
        </w:tc>
      </w:tr>
    </w:tbl>
    <w:p w:rsidR="00261842" w:rsidRPr="001E4CDF" w:rsidRDefault="00261842">
      <w:pPr>
        <w:rPr>
          <w:szCs w:val="24"/>
          <w:lang w:val="sr-Latn-RS"/>
        </w:rPr>
      </w:pPr>
    </w:p>
    <w:p w:rsidR="00261842" w:rsidRPr="001E4CDF" w:rsidRDefault="00261842">
      <w:pPr>
        <w:pStyle w:val="ParagraphNumbering"/>
        <w:numPr>
          <w:ilvl w:val="0"/>
          <w:numId w:val="0"/>
        </w:numPr>
        <w:spacing w:line="260" w:lineRule="auto"/>
        <w:jc w:val="both"/>
        <w:rPr>
          <w:b/>
          <w:lang w:val="sr-Latn-RS"/>
        </w:rPr>
      </w:pPr>
      <w:r w:rsidRPr="001E4CDF">
        <w:rPr>
          <w:lang w:val="sr-Latn-RS"/>
        </w:rPr>
        <w:t>Ovaj indikator ocenjuje postojanje, razumevanje i poštovanje sistema interne kontrole kod preuzimanja obaveza i plaćanja roba i usluga od strane javnih subjekata.</w:t>
      </w:r>
    </w:p>
    <w:p w:rsidR="00261842" w:rsidRPr="001E4CDF" w:rsidRDefault="00261842">
      <w:pPr>
        <w:spacing w:after="120" w:line="260" w:lineRule="auto"/>
        <w:jc w:val="both"/>
        <w:rPr>
          <w:b/>
          <w:szCs w:val="24"/>
          <w:lang w:val="sr-Latn-RS"/>
        </w:rPr>
      </w:pPr>
      <w:r w:rsidRPr="001E4CDF">
        <w:rPr>
          <w:b/>
          <w:szCs w:val="24"/>
          <w:lang w:val="sr-Latn-RS"/>
        </w:rPr>
        <w:t>(i) Efikasnost kontrola preuzimanja obaveza</w:t>
      </w:r>
    </w:p>
    <w:p w:rsidR="00261842" w:rsidRPr="001E4CDF" w:rsidRDefault="00261842">
      <w:pPr>
        <w:pStyle w:val="ParagraphNumbering"/>
        <w:numPr>
          <w:ilvl w:val="0"/>
          <w:numId w:val="0"/>
        </w:numPr>
        <w:spacing w:line="260" w:lineRule="auto"/>
        <w:jc w:val="both"/>
        <w:rPr>
          <w:lang w:val="sr-Latn-RS"/>
        </w:rPr>
      </w:pPr>
      <w:r w:rsidRPr="001E4CDF">
        <w:rPr>
          <w:lang w:val="sr-Latn-RS"/>
        </w:rPr>
        <w:t xml:space="preserve">Postoji proces kontrole preuzimanja obaveza, ali je u fazi prijema fakture umesto u fazi odluke o kupovini nakon ispunjenja uslova za pokretanje javne nabavke.   To znači da postoji mogućnost da </w:t>
      </w:r>
      <w:proofErr w:type="spellStart"/>
      <w:r w:rsidRPr="001E4CDF">
        <w:rPr>
          <w:lang w:val="sr-Latn-RS"/>
        </w:rPr>
        <w:t>kvartalna</w:t>
      </w:r>
      <w:proofErr w:type="spellEnd"/>
      <w:r w:rsidRPr="001E4CDF">
        <w:rPr>
          <w:lang w:val="sr-Latn-RS"/>
        </w:rPr>
        <w:t xml:space="preserve"> kvota korisnika bude </w:t>
      </w:r>
      <w:proofErr w:type="spellStart"/>
      <w:r w:rsidRPr="001E4CDF">
        <w:rPr>
          <w:lang w:val="sr-Latn-RS"/>
        </w:rPr>
        <w:t>premašena</w:t>
      </w:r>
      <w:proofErr w:type="spellEnd"/>
      <w:r w:rsidRPr="001E4CDF">
        <w:rPr>
          <w:lang w:val="sr-Latn-RS"/>
        </w:rPr>
        <w:t xml:space="preserve"> pošto se mogu izdati narudžbenice u iznosu koji </w:t>
      </w:r>
      <w:proofErr w:type="spellStart"/>
      <w:r w:rsidRPr="001E4CDF">
        <w:rPr>
          <w:lang w:val="sr-Latn-RS"/>
        </w:rPr>
        <w:t>premašuje</w:t>
      </w:r>
      <w:proofErr w:type="spellEnd"/>
      <w:r w:rsidRPr="001E4CDF">
        <w:rPr>
          <w:lang w:val="sr-Latn-RS"/>
        </w:rPr>
        <w:t xml:space="preserve"> </w:t>
      </w:r>
      <w:proofErr w:type="spellStart"/>
      <w:r w:rsidRPr="001E4CDF">
        <w:rPr>
          <w:lang w:val="sr-Latn-RS"/>
        </w:rPr>
        <w:t>kvartalno</w:t>
      </w:r>
      <w:proofErr w:type="spellEnd"/>
      <w:r w:rsidRPr="001E4CDF">
        <w:rPr>
          <w:lang w:val="sr-Latn-RS"/>
        </w:rPr>
        <w:t xml:space="preserve"> raspoloživ iznos.  Ipak, postoji sistem po kojem svi korisnici moraju imati pismeno odobrenje od odeljenja za budžet kako bi mogli da pokrenu proces nabavke, kao i odobrenje od strane Trezora pre nego što se plaćanje izvrši.  </w:t>
      </w:r>
      <w:r w:rsidR="00606DF8">
        <w:rPr>
          <w:lang w:val="sr-Latn-RS"/>
        </w:rPr>
        <w:t xml:space="preserve">To je procedura koja se koristi u praksi. </w:t>
      </w:r>
      <w:r w:rsidRPr="001E4CDF">
        <w:rPr>
          <w:lang w:val="sr-Latn-RS"/>
        </w:rPr>
        <w:t>Preuzimanjem obaveze u fazi narudžbenice bi se osiguralo da kontrole obaveza budu u potpunosti efikasne.</w:t>
      </w:r>
    </w:p>
    <w:p w:rsidR="00261842" w:rsidRPr="001E4CDF" w:rsidRDefault="00261842">
      <w:pPr>
        <w:pStyle w:val="ParagraphNumbering"/>
        <w:numPr>
          <w:ilvl w:val="0"/>
          <w:numId w:val="0"/>
        </w:numPr>
        <w:spacing w:line="260" w:lineRule="auto"/>
        <w:rPr>
          <w:lang w:val="sr-Latn-RS"/>
        </w:rPr>
      </w:pPr>
      <w:r w:rsidRPr="001E4CDF">
        <w:rPr>
          <w:lang w:val="sr-Latn-RS"/>
        </w:rPr>
        <w:t>Ocena C</w:t>
      </w:r>
    </w:p>
    <w:p w:rsidR="00261842" w:rsidRPr="001E4CDF" w:rsidRDefault="00261842">
      <w:pPr>
        <w:tabs>
          <w:tab w:val="num" w:pos="720"/>
          <w:tab w:val="num" w:pos="2563"/>
          <w:tab w:val="num" w:pos="5681"/>
        </w:tabs>
        <w:spacing w:before="240" w:after="240" w:line="260" w:lineRule="auto"/>
        <w:rPr>
          <w:b/>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xml:space="preserve">) </w:t>
      </w:r>
      <w:proofErr w:type="spellStart"/>
      <w:r w:rsidRPr="001E4CDF">
        <w:rPr>
          <w:b/>
          <w:szCs w:val="24"/>
          <w:lang w:val="sr-Latn-RS"/>
        </w:rPr>
        <w:t>Sveobuhvatnost</w:t>
      </w:r>
      <w:proofErr w:type="spellEnd"/>
      <w:r w:rsidRPr="001E4CDF">
        <w:rPr>
          <w:b/>
          <w:szCs w:val="24"/>
          <w:lang w:val="sr-Latn-RS"/>
        </w:rPr>
        <w:t>, relevantnost i razumevanje ostalih pravila/postupaka internih kontrola</w:t>
      </w:r>
    </w:p>
    <w:p w:rsidR="00261842" w:rsidRPr="001E4CDF" w:rsidRDefault="00261842">
      <w:pPr>
        <w:pStyle w:val="ParagraphNumbering"/>
        <w:numPr>
          <w:ilvl w:val="0"/>
          <w:numId w:val="0"/>
        </w:numPr>
        <w:spacing w:line="260" w:lineRule="auto"/>
        <w:jc w:val="both"/>
        <w:rPr>
          <w:lang w:val="sr-Latn-RS"/>
        </w:rPr>
      </w:pPr>
      <w:r w:rsidRPr="001E4CDF">
        <w:rPr>
          <w:lang w:val="sr-Latn-RS"/>
        </w:rPr>
        <w:t>Pravilnik i propisi koji regulišu korišćenje službenih mobilnih telefona su trenutno u izradi ali nema pravilnika ili evidencije o korišćenju službenih vozila. Postoji registar imovine u vlasništvu opštine. Zaposleni koji koriste IT su obučeni a pristup specifičnim sistemima je zaštićen lozinkama.  Međutim, pristup platnom spisku je zaštićen lozinkom koja nije jedinstvena za svakog korisnika (videti PU-18 (</w:t>
      </w:r>
      <w:proofErr w:type="spellStart"/>
      <w:r w:rsidRPr="001E4CDF">
        <w:rPr>
          <w:lang w:val="sr-Latn-RS"/>
        </w:rPr>
        <w:t>iii</w:t>
      </w:r>
      <w:proofErr w:type="spellEnd"/>
      <w:r w:rsidRPr="001E4CDF">
        <w:rPr>
          <w:lang w:val="sr-Latn-RS"/>
        </w:rPr>
        <w:t xml:space="preserve">)). IT administrator može da prati prijavljivanje na sistem.  </w:t>
      </w:r>
    </w:p>
    <w:p w:rsidR="00261842" w:rsidRPr="001E4CDF" w:rsidRDefault="00261842">
      <w:pPr>
        <w:pStyle w:val="ParagraphNumbering"/>
        <w:numPr>
          <w:ilvl w:val="0"/>
          <w:numId w:val="0"/>
        </w:numPr>
        <w:spacing w:line="260" w:lineRule="auto"/>
        <w:jc w:val="both"/>
        <w:rPr>
          <w:lang w:val="sr-Latn-RS"/>
        </w:rPr>
      </w:pPr>
      <w:r w:rsidRPr="001E4CDF">
        <w:rPr>
          <w:lang w:val="sr-Latn-RS"/>
        </w:rPr>
        <w:t>Ocena C</w:t>
      </w:r>
    </w:p>
    <w:p w:rsidR="00261842" w:rsidRPr="001E4CDF" w:rsidRDefault="00261842">
      <w:pPr>
        <w:spacing w:before="240" w:after="240" w:line="260" w:lineRule="auto"/>
        <w:rPr>
          <w:b/>
          <w:szCs w:val="24"/>
          <w:lang w:val="sr-Latn-RS"/>
        </w:rPr>
      </w:pPr>
      <w:r w:rsidRPr="001E4CDF">
        <w:rPr>
          <w:b/>
          <w:szCs w:val="24"/>
          <w:lang w:val="sr-Latn-RS"/>
        </w:rPr>
        <w:t>(</w:t>
      </w:r>
      <w:proofErr w:type="spellStart"/>
      <w:r w:rsidRPr="001E4CDF">
        <w:rPr>
          <w:b/>
          <w:szCs w:val="24"/>
          <w:lang w:val="sr-Latn-RS"/>
        </w:rPr>
        <w:t>iii</w:t>
      </w:r>
      <w:proofErr w:type="spellEnd"/>
      <w:r w:rsidRPr="001E4CDF">
        <w:rPr>
          <w:b/>
          <w:szCs w:val="24"/>
          <w:lang w:val="sr-Latn-RS"/>
        </w:rPr>
        <w:t>) Stepen usklađenosti sa pravilima za obradu i evidentiranje transakcija</w:t>
      </w:r>
    </w:p>
    <w:p w:rsidR="00261842" w:rsidRDefault="00261842" w:rsidP="003227E0">
      <w:pPr>
        <w:pStyle w:val="ParagraphNumbering"/>
        <w:numPr>
          <w:ilvl w:val="0"/>
          <w:numId w:val="0"/>
        </w:numPr>
        <w:spacing w:line="260" w:lineRule="auto"/>
        <w:jc w:val="both"/>
        <w:rPr>
          <w:lang w:val="sr-Latn-RS"/>
        </w:rPr>
      </w:pPr>
      <w:r w:rsidRPr="001E4CDF">
        <w:rPr>
          <w:lang w:val="sr-Latn-RS"/>
        </w:rPr>
        <w:lastRenderedPageBreak/>
        <w:t xml:space="preserve">Postoje dva pravilnika za obradu transakcija: jedan za trezor (Smernice za rad trezora u opštini </w:t>
      </w:r>
      <w:proofErr w:type="spellStart"/>
      <w:r w:rsidRPr="001E4CDF">
        <w:rPr>
          <w:lang w:val="sr-Latn-RS"/>
        </w:rPr>
        <w:t>Osečina</w:t>
      </w:r>
      <w:proofErr w:type="spellEnd"/>
      <w:r w:rsidRPr="001E4CDF">
        <w:rPr>
          <w:lang w:val="sr-Latn-RS"/>
        </w:rPr>
        <w:t xml:space="preserve"> (Odluka Opštinskog veća br. 060-6/2014 od 21.02.2014.)) i jedan za Računovodstvo (Pravilnik o budžetskom računovodstvu (Odluka rukovodioca Opštinske uprave br. 40-1/2014 od 28.03.2014.)).  Postoje još dva pravilnika: Postoje još dva pravilnika: (Odluka rukovodioca Opštinske uprave br. 121-1/2014 od 02.04.2014.) U razgovorima sa trezorom i administrativnim jedinicama pokazalo se da je usaglašenost visoka i efikasna.  </w:t>
      </w:r>
      <w:r w:rsidR="00606DF8">
        <w:rPr>
          <w:lang w:val="sr-Latn-RS"/>
        </w:rPr>
        <w:t xml:space="preserve">Retko se dešava odbijanje transakcija i kada se to desi nije od materijalne važnosti. </w:t>
      </w:r>
      <w:r w:rsidRPr="001E4CDF">
        <w:rPr>
          <w:lang w:val="sr-Latn-RS"/>
        </w:rPr>
        <w:t xml:space="preserve">Ocena A </w:t>
      </w:r>
    </w:p>
    <w:p w:rsidR="00AA028E" w:rsidRDefault="00AA028E" w:rsidP="003227E0">
      <w:pPr>
        <w:pStyle w:val="ParagraphNumbering"/>
        <w:numPr>
          <w:ilvl w:val="0"/>
          <w:numId w:val="0"/>
        </w:numPr>
        <w:spacing w:line="260" w:lineRule="auto"/>
        <w:jc w:val="both"/>
        <w:rPr>
          <w:lang w:val="sr-Latn-RS"/>
        </w:rPr>
      </w:pPr>
    </w:p>
    <w:p w:rsidR="00B04D0E" w:rsidRDefault="00B04D0E" w:rsidP="003227E0">
      <w:pPr>
        <w:pStyle w:val="ParagraphNumbering"/>
        <w:numPr>
          <w:ilvl w:val="0"/>
          <w:numId w:val="0"/>
        </w:numPr>
        <w:spacing w:line="260" w:lineRule="auto"/>
        <w:jc w:val="both"/>
        <w:rPr>
          <w:lang w:val="sr-Latn-RS"/>
        </w:rPr>
      </w:pPr>
    </w:p>
    <w:p w:rsidR="00B04D0E" w:rsidRDefault="00B04D0E" w:rsidP="003227E0">
      <w:pPr>
        <w:pStyle w:val="ParagraphNumbering"/>
        <w:numPr>
          <w:ilvl w:val="0"/>
          <w:numId w:val="0"/>
        </w:numPr>
        <w:spacing w:line="260" w:lineRule="auto"/>
        <w:jc w:val="both"/>
        <w:rPr>
          <w:lang w:val="sr-Latn-RS"/>
        </w:rPr>
      </w:pPr>
    </w:p>
    <w:p w:rsidR="00AA028E" w:rsidRPr="001E4CDF" w:rsidRDefault="00AA028E" w:rsidP="003227E0">
      <w:pPr>
        <w:pStyle w:val="ParagraphNumbering"/>
        <w:numPr>
          <w:ilvl w:val="0"/>
          <w:numId w:val="0"/>
        </w:numPr>
        <w:spacing w:line="260" w:lineRule="auto"/>
        <w:jc w:val="both"/>
        <w:rPr>
          <w:lang w:val="sr-Latn-RS"/>
        </w:rPr>
      </w:pPr>
    </w:p>
    <w:p w:rsidR="00261842" w:rsidRPr="001E4CDF" w:rsidRDefault="00261842">
      <w:pPr>
        <w:spacing w:line="260" w:lineRule="auto"/>
        <w:rPr>
          <w:b/>
          <w:szCs w:val="24"/>
          <w:lang w:val="sr-Latn-RS"/>
        </w:rPr>
      </w:pPr>
      <w:r w:rsidRPr="001E4CDF">
        <w:rPr>
          <w:b/>
          <w:szCs w:val="24"/>
          <w:lang w:val="sr-Latn-RS"/>
        </w:rPr>
        <w:t>PU- 21 – Efikasnost interne revizije</w:t>
      </w:r>
    </w:p>
    <w:p w:rsidR="00261842" w:rsidRPr="001E4CDF" w:rsidRDefault="00261842">
      <w:pPr>
        <w:rPr>
          <w:szCs w:val="24"/>
          <w:lang w:val="sr-Latn-RS"/>
        </w:rPr>
      </w:pPr>
    </w:p>
    <w:tbl>
      <w:tblPr>
        <w:tblW w:w="9136" w:type="dxa"/>
        <w:tblInd w:w="93" w:type="dxa"/>
        <w:tblLayout w:type="fixed"/>
        <w:tblLook w:val="0000" w:firstRow="0" w:lastRow="0" w:firstColumn="0" w:lastColumn="0" w:noHBand="0" w:noVBand="0"/>
      </w:tblPr>
      <w:tblGrid>
        <w:gridCol w:w="3228"/>
        <w:gridCol w:w="1075"/>
        <w:gridCol w:w="4820"/>
        <w:gridCol w:w="13"/>
      </w:tblGrid>
      <w:tr w:rsidR="00261842" w:rsidRPr="00025057" w:rsidTr="00AA028E">
        <w:trPr>
          <w:trHeight w:val="293"/>
        </w:trPr>
        <w:tc>
          <w:tcPr>
            <w:tcW w:w="3228"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5908" w:type="dxa"/>
            <w:gridSpan w:val="3"/>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rsidTr="00AA028E">
        <w:trPr>
          <w:gridAfter w:val="1"/>
          <w:wAfter w:w="13" w:type="dxa"/>
          <w:trHeight w:val="252"/>
        </w:trPr>
        <w:tc>
          <w:tcPr>
            <w:tcW w:w="3228"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suppressAutoHyphens/>
              <w:autoSpaceDE w:val="0"/>
              <w:adjustRightInd w:val="0"/>
              <w:snapToGrid w:val="0"/>
              <w:spacing w:line="240" w:lineRule="auto"/>
              <w:jc w:val="center"/>
              <w:textAlignment w:val="baseline"/>
              <w:rPr>
                <w:rFonts w:ascii="Arial" w:hAnsi="Arial"/>
                <w:color w:val="000000"/>
                <w:sz w:val="20"/>
                <w:szCs w:val="24"/>
                <w:lang w:val="sr-Latn-RS"/>
              </w:rPr>
            </w:pPr>
          </w:p>
        </w:tc>
        <w:tc>
          <w:tcPr>
            <w:tcW w:w="1075"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color w:val="000000"/>
                <w:sz w:val="20"/>
                <w:szCs w:val="24"/>
                <w:lang w:val="sr-Latn-RS"/>
              </w:rPr>
            </w:pPr>
            <w:r w:rsidRPr="00C03E15">
              <w:rPr>
                <w:color w:val="000000"/>
                <w:sz w:val="20"/>
                <w:szCs w:val="24"/>
                <w:lang w:val="sr-Latn-RS"/>
              </w:rPr>
              <w:t>2014</w:t>
            </w:r>
          </w:p>
        </w:tc>
        <w:tc>
          <w:tcPr>
            <w:tcW w:w="4820"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Objašnjenje</w:t>
            </w:r>
          </w:p>
        </w:tc>
      </w:tr>
      <w:tr w:rsidR="00261842" w:rsidRPr="001E4CDF" w:rsidTr="00AA028E">
        <w:trPr>
          <w:gridAfter w:val="1"/>
          <w:wAfter w:w="13" w:type="dxa"/>
          <w:trHeight w:val="252"/>
        </w:trPr>
        <w:tc>
          <w:tcPr>
            <w:tcW w:w="3228" w:type="dxa"/>
            <w:tcBorders>
              <w:top w:val="single" w:sz="8" w:space="0" w:color="000000"/>
              <w:lef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b/>
                <w:sz w:val="20"/>
                <w:szCs w:val="24"/>
                <w:lang w:val="sr-Latn-RS"/>
              </w:rPr>
              <w:t>PU- 21 – Efikasnost interne revizije</w:t>
            </w:r>
          </w:p>
        </w:tc>
        <w:tc>
          <w:tcPr>
            <w:tcW w:w="1075"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b/>
                <w:color w:val="000000"/>
                <w:sz w:val="20"/>
                <w:szCs w:val="24"/>
                <w:lang w:val="sr-Latn-RS"/>
              </w:rPr>
              <w:t>Ocena D</w:t>
            </w:r>
          </w:p>
        </w:tc>
        <w:tc>
          <w:tcPr>
            <w:tcW w:w="4820" w:type="dxa"/>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suppressAutoHyphens/>
              <w:autoSpaceDE w:val="0"/>
              <w:adjustRightInd w:val="0"/>
              <w:snapToGrid w:val="0"/>
              <w:spacing w:line="240" w:lineRule="auto"/>
              <w:textAlignment w:val="baseline"/>
              <w:rPr>
                <w:rFonts w:ascii="Arial" w:hAnsi="Arial"/>
                <w:color w:val="000000"/>
                <w:sz w:val="20"/>
                <w:szCs w:val="24"/>
                <w:lang w:val="sr-Latn-RS"/>
              </w:rPr>
            </w:pPr>
          </w:p>
        </w:tc>
      </w:tr>
      <w:tr w:rsidR="00261842" w:rsidRPr="00C03E15" w:rsidTr="00AA028E">
        <w:trPr>
          <w:gridAfter w:val="1"/>
          <w:wAfter w:w="13" w:type="dxa"/>
          <w:trHeight w:val="252"/>
        </w:trPr>
        <w:tc>
          <w:tcPr>
            <w:tcW w:w="3228" w:type="dxa"/>
            <w:tcBorders>
              <w:top w:val="single" w:sz="8" w:space="0" w:color="000000"/>
              <w:lef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0"/>
                <w:szCs w:val="24"/>
                <w:lang w:val="sr-Latn-RS"/>
              </w:rPr>
              <w:t>(i) Obuhvat i kvalitet funkcije interne revizije</w:t>
            </w:r>
          </w:p>
        </w:tc>
        <w:tc>
          <w:tcPr>
            <w:tcW w:w="1075"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D</w:t>
            </w:r>
          </w:p>
        </w:tc>
        <w:tc>
          <w:tcPr>
            <w:tcW w:w="4820" w:type="dxa"/>
            <w:vMerge w:val="restart"/>
            <w:tcBorders>
              <w:top w:val="single" w:sz="8" w:space="0" w:color="000000"/>
              <w:left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2"/>
                <w:szCs w:val="24"/>
                <w:lang w:val="sr-Latn-RS"/>
              </w:rPr>
              <w:t>Sistematizacijom nije predviđeno radno mesto za funkciju interne revizije.</w:t>
            </w:r>
          </w:p>
        </w:tc>
      </w:tr>
      <w:tr w:rsidR="00261842" w:rsidRPr="001E4CDF" w:rsidTr="00AA028E">
        <w:trPr>
          <w:gridAfter w:val="1"/>
          <w:wAfter w:w="13" w:type="dxa"/>
          <w:trHeight w:val="252"/>
        </w:trPr>
        <w:tc>
          <w:tcPr>
            <w:tcW w:w="3228" w:type="dxa"/>
            <w:tcBorders>
              <w:top w:val="single" w:sz="8" w:space="0" w:color="000000"/>
              <w:left w:val="single" w:sz="8" w:space="0" w:color="000000"/>
              <w:bottom w:val="single" w:sz="4" w:space="0" w:color="auto"/>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Učestalost pripremanja i dostavljanja izveštaja</w:t>
            </w:r>
          </w:p>
        </w:tc>
        <w:tc>
          <w:tcPr>
            <w:tcW w:w="1075"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D</w:t>
            </w:r>
          </w:p>
        </w:tc>
        <w:tc>
          <w:tcPr>
            <w:tcW w:w="4820" w:type="dxa"/>
            <w:vMerge/>
            <w:tcBorders>
              <w:left w:val="single" w:sz="8" w:space="0" w:color="000000"/>
              <w:right w:val="single" w:sz="8" w:space="0" w:color="000000"/>
            </w:tcBorders>
          </w:tcPr>
          <w:p w:rsidR="00261842" w:rsidRPr="001E4CDF" w:rsidRDefault="00261842">
            <w:pPr>
              <w:widowControl w:val="0"/>
              <w:suppressAutoHyphens/>
              <w:autoSpaceDE w:val="0"/>
              <w:adjustRightInd w:val="0"/>
              <w:snapToGrid w:val="0"/>
              <w:spacing w:line="240" w:lineRule="auto"/>
              <w:textAlignment w:val="baseline"/>
              <w:rPr>
                <w:rFonts w:ascii="Arial" w:hAnsi="Arial"/>
                <w:color w:val="000000"/>
                <w:sz w:val="20"/>
                <w:szCs w:val="24"/>
                <w:lang w:val="sr-Latn-RS"/>
              </w:rPr>
            </w:pPr>
          </w:p>
        </w:tc>
      </w:tr>
      <w:tr w:rsidR="00261842" w:rsidRPr="001E4CDF" w:rsidTr="00AA028E">
        <w:trPr>
          <w:gridAfter w:val="1"/>
          <w:wAfter w:w="13" w:type="dxa"/>
          <w:trHeight w:val="252"/>
        </w:trPr>
        <w:tc>
          <w:tcPr>
            <w:tcW w:w="3228" w:type="dxa"/>
            <w:tcBorders>
              <w:top w:val="single" w:sz="4" w:space="0" w:color="auto"/>
              <w:left w:val="single" w:sz="4" w:space="0" w:color="auto"/>
              <w:bottom w:val="single" w:sz="4" w:space="0" w:color="auto"/>
              <w:right w:val="single" w:sz="4" w:space="0" w:color="auto"/>
            </w:tcBorders>
          </w:tcPr>
          <w:p w:rsidR="00261842" w:rsidRPr="00C03E15" w:rsidRDefault="00261842">
            <w:pPr>
              <w:widowControl w:val="0"/>
              <w:suppressAutoHyphens/>
              <w:autoSpaceDE w:val="0"/>
              <w:adjustRightInd w:val="0"/>
              <w:snapToGrid w:val="0"/>
              <w:spacing w:line="240" w:lineRule="auto"/>
              <w:textAlignment w:val="baseline"/>
              <w:rPr>
                <w:szCs w:val="24"/>
                <w:lang w:val="sr-Latn-RS"/>
              </w:rPr>
            </w:pPr>
            <w:r w:rsidRPr="00C03E15">
              <w:rPr>
                <w:sz w:val="20"/>
                <w:szCs w:val="24"/>
                <w:lang w:val="sr-Latn-RS"/>
              </w:rPr>
              <w:t>Neprimenjivo (</w:t>
            </w:r>
            <w:proofErr w:type="spellStart"/>
            <w:r w:rsidRPr="00C03E15">
              <w:rPr>
                <w:sz w:val="20"/>
                <w:szCs w:val="24"/>
                <w:lang w:val="sr-Latn-RS"/>
              </w:rPr>
              <w:t>iii</w:t>
            </w:r>
            <w:proofErr w:type="spellEnd"/>
            <w:r w:rsidRPr="00C03E15">
              <w:rPr>
                <w:sz w:val="20"/>
                <w:szCs w:val="24"/>
                <w:lang w:val="sr-Latn-RS"/>
              </w:rPr>
              <w:t>) Stepen reakcije uprave na nalaze revizije</w:t>
            </w:r>
          </w:p>
        </w:tc>
        <w:tc>
          <w:tcPr>
            <w:tcW w:w="1075" w:type="dxa"/>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NP</w:t>
            </w:r>
          </w:p>
        </w:tc>
        <w:tc>
          <w:tcPr>
            <w:tcW w:w="4820" w:type="dxa"/>
            <w:vMerge/>
            <w:tcBorders>
              <w:left w:val="single" w:sz="8" w:space="0" w:color="000000"/>
              <w:bottom w:val="single" w:sz="8" w:space="0" w:color="000000"/>
              <w:right w:val="single" w:sz="8" w:space="0" w:color="000000"/>
            </w:tcBorders>
          </w:tcPr>
          <w:p w:rsidR="00261842" w:rsidRPr="001E4CDF" w:rsidRDefault="00261842">
            <w:pPr>
              <w:widowControl w:val="0"/>
              <w:suppressAutoHyphens/>
              <w:autoSpaceDE w:val="0"/>
              <w:adjustRightInd w:val="0"/>
              <w:snapToGrid w:val="0"/>
              <w:spacing w:line="240" w:lineRule="auto"/>
              <w:textAlignment w:val="baseline"/>
              <w:rPr>
                <w:rFonts w:ascii="Arial" w:hAnsi="Arial"/>
                <w:color w:val="000000"/>
                <w:sz w:val="20"/>
                <w:szCs w:val="24"/>
                <w:lang w:val="sr-Latn-RS"/>
              </w:rPr>
            </w:pPr>
          </w:p>
        </w:tc>
      </w:tr>
    </w:tbl>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 xml:space="preserve">Ovaj pokazatelj ocenjuje efikasnost funkcije interne revizije na osnovu obuhvata i kvaliteta funkcije revizije, vrste i </w:t>
      </w:r>
      <w:proofErr w:type="spellStart"/>
      <w:r w:rsidRPr="001E4CDF">
        <w:rPr>
          <w:szCs w:val="24"/>
          <w:lang w:val="sr-Latn-RS"/>
        </w:rPr>
        <w:t>pravoremenosti</w:t>
      </w:r>
      <w:proofErr w:type="spellEnd"/>
      <w:r w:rsidRPr="001E4CDF">
        <w:rPr>
          <w:szCs w:val="24"/>
          <w:lang w:val="sr-Latn-RS"/>
        </w:rPr>
        <w:t xml:space="preserve"> izveštaja o nalazima, kao i reakcije gradske uprave na nalaze i preporuke interne revizije.</w:t>
      </w:r>
    </w:p>
    <w:p w:rsidR="00261842" w:rsidRPr="001E4CDF" w:rsidRDefault="00261842">
      <w:pPr>
        <w:rPr>
          <w:szCs w:val="24"/>
          <w:lang w:val="sr-Latn-RS"/>
        </w:rPr>
      </w:pPr>
    </w:p>
    <w:p w:rsidR="00261842" w:rsidRPr="001E4CDF" w:rsidRDefault="00261842">
      <w:pPr>
        <w:spacing w:after="120" w:line="260" w:lineRule="auto"/>
        <w:jc w:val="both"/>
        <w:rPr>
          <w:b/>
          <w:szCs w:val="24"/>
          <w:lang w:val="sr-Latn-RS"/>
        </w:rPr>
      </w:pPr>
      <w:r w:rsidRPr="001E4CDF">
        <w:rPr>
          <w:b/>
          <w:szCs w:val="24"/>
          <w:lang w:val="sr-Latn-RS"/>
        </w:rPr>
        <w:t>(i) Obuhvat i kvalitet funkcije interne revizije</w:t>
      </w:r>
    </w:p>
    <w:p w:rsidR="00261842" w:rsidRPr="001E4CDF" w:rsidRDefault="00261842">
      <w:pPr>
        <w:pStyle w:val="ParagraphNumbering"/>
        <w:numPr>
          <w:ilvl w:val="0"/>
          <w:numId w:val="0"/>
        </w:numPr>
        <w:spacing w:line="260" w:lineRule="auto"/>
        <w:rPr>
          <w:lang w:val="sr-Latn-RS"/>
        </w:rPr>
      </w:pPr>
      <w:r w:rsidRPr="001E4CDF">
        <w:rPr>
          <w:lang w:val="sr-Latn-RS"/>
        </w:rPr>
        <w:t>Podrazumevana ocena D</w:t>
      </w:r>
    </w:p>
    <w:p w:rsidR="00261842" w:rsidRPr="001E4CDF" w:rsidRDefault="00261842">
      <w:pPr>
        <w:spacing w:before="240" w:after="240" w:line="260" w:lineRule="auto"/>
        <w:rPr>
          <w:b/>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Učestalost pripremanja i dostavljanja izveštaja</w:t>
      </w:r>
    </w:p>
    <w:p w:rsidR="00261842" w:rsidRPr="001E4CDF" w:rsidRDefault="00261842">
      <w:pPr>
        <w:pStyle w:val="ParagraphNumbering"/>
        <w:numPr>
          <w:ilvl w:val="0"/>
          <w:numId w:val="0"/>
        </w:numPr>
        <w:spacing w:line="260" w:lineRule="auto"/>
        <w:rPr>
          <w:lang w:val="sr-Latn-RS"/>
        </w:rPr>
      </w:pPr>
      <w:r w:rsidRPr="001E4CDF">
        <w:rPr>
          <w:lang w:val="sr-Latn-RS"/>
        </w:rPr>
        <w:t>Podrazumevana ocena D</w:t>
      </w:r>
    </w:p>
    <w:p w:rsidR="00261842" w:rsidRPr="001E4CDF" w:rsidRDefault="00261842">
      <w:pPr>
        <w:spacing w:before="240" w:after="240" w:line="260" w:lineRule="auto"/>
        <w:rPr>
          <w:b/>
          <w:szCs w:val="24"/>
          <w:lang w:val="sr-Latn-RS"/>
        </w:rPr>
      </w:pPr>
      <w:r w:rsidRPr="001E4CDF">
        <w:rPr>
          <w:b/>
          <w:szCs w:val="24"/>
          <w:lang w:val="sr-Latn-RS"/>
        </w:rPr>
        <w:t>Neprimenjivo (</w:t>
      </w:r>
      <w:proofErr w:type="spellStart"/>
      <w:r w:rsidRPr="001E4CDF">
        <w:rPr>
          <w:b/>
          <w:szCs w:val="24"/>
          <w:lang w:val="sr-Latn-RS"/>
        </w:rPr>
        <w:t>iii</w:t>
      </w:r>
      <w:proofErr w:type="spellEnd"/>
      <w:r w:rsidRPr="001E4CDF">
        <w:rPr>
          <w:b/>
          <w:szCs w:val="24"/>
          <w:lang w:val="sr-Latn-RS"/>
        </w:rPr>
        <w:t>) Stepen reakcije uprave na nalaze revizije</w:t>
      </w:r>
    </w:p>
    <w:p w:rsidR="00261842" w:rsidRPr="001E4CDF" w:rsidRDefault="00261842">
      <w:pPr>
        <w:pStyle w:val="ParagraphNumbering"/>
        <w:numPr>
          <w:ilvl w:val="0"/>
          <w:numId w:val="0"/>
        </w:numPr>
        <w:spacing w:line="260" w:lineRule="auto"/>
        <w:rPr>
          <w:lang w:val="sr-Latn-RS"/>
        </w:rPr>
      </w:pPr>
      <w:r w:rsidRPr="001E4CDF">
        <w:rPr>
          <w:lang w:val="sr-Latn-RS"/>
        </w:rPr>
        <w:lastRenderedPageBreak/>
        <w:t xml:space="preserve"> Podrazumevana ocena NP</w:t>
      </w:r>
    </w:p>
    <w:p w:rsidR="00261842" w:rsidRPr="003227E0" w:rsidRDefault="00261842">
      <w:pPr>
        <w:pStyle w:val="Heading2"/>
        <w:spacing w:line="260" w:lineRule="auto"/>
        <w:ind w:left="2880"/>
        <w:jc w:val="left"/>
        <w:rPr>
          <w:rFonts w:cs="Times New Roman"/>
          <w:bCs w:val="0"/>
          <w:iCs w:val="0"/>
          <w:szCs w:val="24"/>
          <w:lang w:val="sr-Latn-RS"/>
        </w:rPr>
      </w:pPr>
      <w:bookmarkStart w:id="15" w:name="_Toc421138249"/>
      <w:r w:rsidRPr="003227E0">
        <w:rPr>
          <w:rFonts w:cs="Times New Roman"/>
          <w:bCs w:val="0"/>
          <w:iCs w:val="0"/>
          <w:szCs w:val="24"/>
          <w:lang w:val="sr-Latn-RS"/>
        </w:rPr>
        <w:t>Računovodstvo, evidentiranje i izveštavanje</w:t>
      </w:r>
      <w:bookmarkEnd w:id="15"/>
    </w:p>
    <w:p w:rsidR="00261842" w:rsidRPr="001E4CDF" w:rsidRDefault="00261842">
      <w:pPr>
        <w:spacing w:line="260" w:lineRule="auto"/>
        <w:rPr>
          <w:b/>
          <w:szCs w:val="24"/>
          <w:lang w:val="sr-Latn-RS"/>
        </w:rPr>
      </w:pPr>
      <w:r w:rsidRPr="001E4CDF">
        <w:rPr>
          <w:b/>
          <w:szCs w:val="24"/>
          <w:lang w:val="sr-Latn-RS"/>
        </w:rPr>
        <w:t xml:space="preserve">PU-22. </w:t>
      </w:r>
      <w:proofErr w:type="spellStart"/>
      <w:r w:rsidRPr="001E4CDF">
        <w:rPr>
          <w:b/>
          <w:szCs w:val="24"/>
          <w:lang w:val="sr-Latn-RS"/>
        </w:rPr>
        <w:t>Blagovremenost</w:t>
      </w:r>
      <w:proofErr w:type="spellEnd"/>
      <w:r w:rsidRPr="001E4CDF">
        <w:rPr>
          <w:b/>
          <w:szCs w:val="24"/>
          <w:lang w:val="sr-Latn-RS"/>
        </w:rPr>
        <w:t xml:space="preserve"> i pravilnost usaglašavanja računa</w:t>
      </w:r>
    </w:p>
    <w:p w:rsidR="00261842" w:rsidRPr="001E4CDF" w:rsidRDefault="00261842">
      <w:pPr>
        <w:rPr>
          <w:szCs w:val="24"/>
          <w:lang w:val="sr-Latn-RS"/>
        </w:rPr>
      </w:pPr>
    </w:p>
    <w:tbl>
      <w:tblPr>
        <w:tblW w:w="5000" w:type="pct"/>
        <w:tblLayout w:type="fixed"/>
        <w:tblLook w:val="0000" w:firstRow="0" w:lastRow="0" w:firstColumn="0" w:lastColumn="0" w:noHBand="0" w:noVBand="0"/>
      </w:tblPr>
      <w:tblGrid>
        <w:gridCol w:w="7"/>
        <w:gridCol w:w="3245"/>
        <w:gridCol w:w="1053"/>
        <w:gridCol w:w="4914"/>
      </w:tblGrid>
      <w:tr w:rsidR="00261842" w:rsidRPr="00025057" w:rsidTr="00AA028E">
        <w:trPr>
          <w:gridBefore w:val="1"/>
          <w:wBefore w:w="4" w:type="pct"/>
          <w:trHeight w:val="293"/>
        </w:trPr>
        <w:tc>
          <w:tcPr>
            <w:tcW w:w="1760" w:type="pct"/>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both"/>
              <w:textAlignment w:val="baseline"/>
              <w:rPr>
                <w:rFonts w:ascii="Arial" w:hAnsi="Arial"/>
                <w:color w:val="000000"/>
                <w:sz w:val="20"/>
                <w:szCs w:val="24"/>
                <w:highlight w:val="yellow"/>
                <w:lang w:val="sr-Latn-RS"/>
              </w:rPr>
            </w:pPr>
          </w:p>
        </w:tc>
        <w:tc>
          <w:tcPr>
            <w:tcW w:w="3236" w:type="pct"/>
            <w:gridSpan w:val="2"/>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M2)</w:t>
            </w:r>
          </w:p>
        </w:tc>
      </w:tr>
      <w:tr w:rsidR="00261842" w:rsidRPr="00C03E15" w:rsidTr="00AA028E">
        <w:trPr>
          <w:trHeight w:val="252"/>
        </w:trPr>
        <w:tc>
          <w:tcPr>
            <w:tcW w:w="1764" w:type="pct"/>
            <w:gridSpan w:val="2"/>
            <w:tcBorders>
              <w:top w:val="single" w:sz="8" w:space="0" w:color="000000"/>
              <w:left w:val="single" w:sz="8" w:space="0" w:color="000000"/>
              <w:bottom w:val="single" w:sz="8" w:space="0" w:color="000000"/>
            </w:tcBorders>
            <w:shd w:val="clear" w:color="auto" w:fill="D2EFFF"/>
          </w:tcPr>
          <w:p w:rsidR="00261842" w:rsidRPr="00C03E15" w:rsidRDefault="00261842">
            <w:pPr>
              <w:rPr>
                <w:sz w:val="20"/>
                <w:szCs w:val="24"/>
                <w:lang w:val="sr-Latn-RS"/>
              </w:rPr>
            </w:pPr>
          </w:p>
        </w:tc>
        <w:tc>
          <w:tcPr>
            <w:tcW w:w="571" w:type="pct"/>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jc w:val="center"/>
              <w:rPr>
                <w:sz w:val="20"/>
                <w:szCs w:val="24"/>
                <w:lang w:val="sr-Latn-RS"/>
              </w:rPr>
            </w:pPr>
            <w:r w:rsidRPr="00C03E15">
              <w:rPr>
                <w:sz w:val="20"/>
                <w:szCs w:val="24"/>
                <w:lang w:val="sr-Latn-RS"/>
              </w:rPr>
              <w:t>2014</w:t>
            </w:r>
          </w:p>
        </w:tc>
        <w:tc>
          <w:tcPr>
            <w:tcW w:w="2666" w:type="pct"/>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spacing w:line="260" w:lineRule="auto"/>
              <w:rPr>
                <w:szCs w:val="24"/>
                <w:lang w:val="sr-Latn-RS"/>
              </w:rPr>
            </w:pPr>
            <w:r w:rsidRPr="00C03E15">
              <w:rPr>
                <w:sz w:val="20"/>
                <w:szCs w:val="24"/>
                <w:lang w:val="sr-Latn-RS"/>
              </w:rPr>
              <w:t>Objašnjenje</w:t>
            </w:r>
          </w:p>
        </w:tc>
      </w:tr>
      <w:tr w:rsidR="00261842" w:rsidRPr="00C03E15" w:rsidTr="00AA028E">
        <w:trPr>
          <w:trHeight w:val="252"/>
        </w:trPr>
        <w:tc>
          <w:tcPr>
            <w:tcW w:w="1764" w:type="pct"/>
            <w:gridSpan w:val="2"/>
            <w:tcBorders>
              <w:top w:val="single" w:sz="8" w:space="0" w:color="000000"/>
              <w:left w:val="single" w:sz="8" w:space="0" w:color="000000"/>
            </w:tcBorders>
          </w:tcPr>
          <w:p w:rsidR="00261842" w:rsidRPr="00C03E15" w:rsidRDefault="00261842" w:rsidP="00AA028E">
            <w:pPr>
              <w:widowControl w:val="0"/>
              <w:tabs>
                <w:tab w:val="num" w:pos="720"/>
                <w:tab w:val="num" w:pos="1146"/>
              </w:tabs>
              <w:suppressAutoHyphens/>
              <w:autoSpaceDE w:val="0"/>
              <w:adjustRightInd w:val="0"/>
              <w:snapToGrid w:val="0"/>
              <w:spacing w:line="240" w:lineRule="auto"/>
              <w:textAlignment w:val="baseline"/>
              <w:rPr>
                <w:b/>
                <w:sz w:val="20"/>
                <w:szCs w:val="24"/>
                <w:lang w:val="sr-Latn-RS"/>
              </w:rPr>
            </w:pPr>
            <w:r w:rsidRPr="00C03E15">
              <w:rPr>
                <w:b/>
                <w:sz w:val="20"/>
                <w:szCs w:val="24"/>
                <w:lang w:val="sr-Latn-RS"/>
              </w:rPr>
              <w:t xml:space="preserve">PU-22. </w:t>
            </w:r>
            <w:proofErr w:type="spellStart"/>
            <w:r w:rsidRPr="00C03E15">
              <w:rPr>
                <w:b/>
                <w:sz w:val="20"/>
                <w:szCs w:val="24"/>
                <w:lang w:val="sr-Latn-RS"/>
              </w:rPr>
              <w:t>Blagovremenost</w:t>
            </w:r>
            <w:proofErr w:type="spellEnd"/>
            <w:r w:rsidRPr="00C03E15">
              <w:rPr>
                <w:b/>
                <w:sz w:val="20"/>
                <w:szCs w:val="24"/>
                <w:lang w:val="sr-Latn-RS"/>
              </w:rPr>
              <w:t xml:space="preserve"> i pravilnost usaglašavanja računa</w:t>
            </w:r>
          </w:p>
        </w:tc>
        <w:tc>
          <w:tcPr>
            <w:tcW w:w="571"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b/>
                <w:sz w:val="20"/>
                <w:szCs w:val="24"/>
                <w:lang w:val="sr-Latn-RS"/>
              </w:rPr>
              <w:t>Ocena A</w:t>
            </w:r>
          </w:p>
        </w:tc>
        <w:tc>
          <w:tcPr>
            <w:tcW w:w="2666" w:type="pct"/>
            <w:tcBorders>
              <w:top w:val="single" w:sz="8" w:space="0" w:color="000000"/>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025057" w:rsidTr="00AA028E">
        <w:trPr>
          <w:trHeight w:val="252"/>
        </w:trPr>
        <w:tc>
          <w:tcPr>
            <w:tcW w:w="1764" w:type="pct"/>
            <w:gridSpan w:val="2"/>
            <w:tcBorders>
              <w:top w:val="single" w:sz="8" w:space="0" w:color="000000"/>
              <w:lef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(i) Redovno usaglašavanje sa računima u banci</w:t>
            </w:r>
          </w:p>
        </w:tc>
        <w:tc>
          <w:tcPr>
            <w:tcW w:w="571"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2666"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sz w:val="20"/>
                <w:szCs w:val="24"/>
                <w:lang w:val="sr-Latn-RS"/>
              </w:rPr>
              <w:t>Usaglašavanje svih bankarskih računa lokalne vlasti vrši se najmanje mesečno na zbirnom nivou i na detaljnijim nivoima, najčešće u roku od 4 nedelje po isteku perioda.</w:t>
            </w:r>
          </w:p>
        </w:tc>
      </w:tr>
      <w:tr w:rsidR="00261842" w:rsidRPr="00025057" w:rsidTr="00AA028E">
        <w:trPr>
          <w:trHeight w:val="252"/>
        </w:trPr>
        <w:tc>
          <w:tcPr>
            <w:tcW w:w="1764" w:type="pct"/>
            <w:gridSpan w:val="2"/>
            <w:tcBorders>
              <w:top w:val="single" w:sz="8" w:space="0" w:color="000000"/>
              <w:left w:val="single" w:sz="8" w:space="0" w:color="000000"/>
              <w:bottom w:val="single" w:sz="8" w:space="0" w:color="000000"/>
            </w:tcBorders>
          </w:tcPr>
          <w:p w:rsidR="00261842" w:rsidRPr="00C03E15" w:rsidRDefault="00261842">
            <w:pPr>
              <w:spacing w:line="26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Redovno usaglašavanje i pražnjenje privremenih računa i akontacija</w:t>
            </w:r>
          </w:p>
        </w:tc>
        <w:tc>
          <w:tcPr>
            <w:tcW w:w="571"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2666"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sz w:val="20"/>
                <w:szCs w:val="24"/>
                <w:lang w:val="sr-Latn-RS"/>
              </w:rPr>
              <w:t>Usaglašavanje i obračun stanja na privremenim računima i akontacija vrši se najmanje mesečno, u roku od mesec dana po isteku perioda, s tim da se samo u malom broju slučajeva stanje prenosi u naredni period.</w:t>
            </w:r>
          </w:p>
        </w:tc>
      </w:tr>
    </w:tbl>
    <w:p w:rsidR="00261842" w:rsidRPr="001E4CDF" w:rsidRDefault="00261842">
      <w:pPr>
        <w:pStyle w:val="ParagraphNumbering"/>
        <w:numPr>
          <w:ilvl w:val="0"/>
          <w:numId w:val="0"/>
        </w:numPr>
        <w:spacing w:line="260" w:lineRule="auto"/>
        <w:jc w:val="both"/>
        <w:rPr>
          <w:b/>
          <w:lang w:val="sr-Latn-RS"/>
        </w:rPr>
      </w:pPr>
      <w:r w:rsidRPr="001E4CDF">
        <w:rPr>
          <w:lang w:val="sr-Latn-RS"/>
        </w:rPr>
        <w:t xml:space="preserve">Ovaj indikator ocenjuje u kojoj meri su bankovni računi i privremeni računi ili akontacije, redovno usaglašeni, korigovani ili </w:t>
      </w:r>
      <w:proofErr w:type="spellStart"/>
      <w:r w:rsidRPr="001E4CDF">
        <w:rPr>
          <w:lang w:val="sr-Latn-RS"/>
        </w:rPr>
        <w:t>sravnjeni</w:t>
      </w:r>
      <w:proofErr w:type="spellEnd"/>
      <w:r w:rsidRPr="001E4CDF">
        <w:rPr>
          <w:lang w:val="sr-Latn-RS"/>
        </w:rPr>
        <w:t xml:space="preserve"> u cilju obezbeđivanja tačnosti finansijskih izveštaja.</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(i) Redovno usaglašavanje sa računima u banci</w:t>
      </w:r>
    </w:p>
    <w:p w:rsidR="00F01D8E" w:rsidRDefault="00261842">
      <w:pPr>
        <w:pStyle w:val="ParagraphNumbering"/>
        <w:numPr>
          <w:ilvl w:val="0"/>
          <w:numId w:val="0"/>
        </w:numPr>
        <w:spacing w:line="260" w:lineRule="auto"/>
        <w:jc w:val="both"/>
        <w:rPr>
          <w:lang w:val="sr-Latn-RS"/>
        </w:rPr>
      </w:pPr>
      <w:r w:rsidRPr="001E4CDF">
        <w:rPr>
          <w:lang w:val="sr-Latn-RS"/>
        </w:rPr>
        <w:t xml:space="preserve">Praćenje bankovnog računa opštine putem konsolidovanog računa se vrši na dnevnoj bazi, a izveštaj o usaglašavanju podataka na računima i evidencije se rade do petog u narednom mesecu.  Jedinstvenim računom trezora za svaku opštinu kontroliše Ministarstvo finansija – Uprava za trezor koja vrši plaćanja za entitete u javnom sektoru, obezbeđujući konsolidovanje opštinskih novčanih sredstava na jedinstvenom računu.  </w:t>
      </w:r>
      <w:r w:rsidR="00606DF8">
        <w:rPr>
          <w:lang w:val="sr-Latn-RS"/>
        </w:rPr>
        <w:t xml:space="preserve">Direkcija (preduzeće/nezavisna agencija) u potpunosti se finansira iz budžeta </w:t>
      </w:r>
      <w:r w:rsidR="00BD4CC8">
        <w:rPr>
          <w:lang w:val="sr-Latn-RS"/>
        </w:rPr>
        <w:t xml:space="preserve">i nema prihode iz komercijalnog poslovanja. Ponaša se kao da je odsek opštine- uključena je u </w:t>
      </w:r>
      <w:proofErr w:type="spellStart"/>
      <w:r w:rsidR="00BD4CC8">
        <w:rPr>
          <w:lang w:val="sr-Latn-RS"/>
        </w:rPr>
        <w:t>jednistveni</w:t>
      </w:r>
      <w:proofErr w:type="spellEnd"/>
      <w:r w:rsidR="00BD4CC8">
        <w:rPr>
          <w:lang w:val="sr-Latn-RS"/>
        </w:rPr>
        <w:t xml:space="preserve"> račun trezora. Sva sredstva i rashodi opštine idu preko ovog računa. Prema članu 2 Zakona o budžetskom sistemu, konsolidovani račun trezora lokalne samouprave znači jedinstven račun u domaćoj i stranoj valuti budžetskih korisnika lokalne samouprave i drugih korisnika javnih sredstava koji su uključeni na jedinstveni račun lokalne samouprave, koji se mora otvoriti za potrebe lokalne samouprave kod Trezora. Svaki budžetski korisnik (direktni i indirektni) ima svoj pod-račun u okviru konsolidovanog računa. U okviru pod-računa vodi se posebna evidencija o budžetskim sredstvima kao i o sopstvenim prihodima korisnika, kao što je definisano Pravilnikom o načinu i postupku oba</w:t>
      </w:r>
      <w:r w:rsidR="00F01D8E">
        <w:rPr>
          <w:lang w:val="sr-Latn-RS"/>
        </w:rPr>
        <w:t>v</w:t>
      </w:r>
      <w:r w:rsidR="00BD4CC8">
        <w:rPr>
          <w:lang w:val="sr-Latn-RS"/>
        </w:rPr>
        <w:t xml:space="preserve">ljanja platnog prometa u okviru konsolidovanog računa trezora </w:t>
      </w:r>
      <w:r w:rsidR="00F01D8E">
        <w:rPr>
          <w:lang w:val="sr-Latn-RS"/>
        </w:rPr>
        <w:t>(Službeni glasnik RS Br.</w:t>
      </w:r>
      <w:r w:rsidR="00F01D8E" w:rsidRPr="00025057">
        <w:rPr>
          <w:sz w:val="22"/>
          <w:szCs w:val="22"/>
          <w:lang w:val="sr-Latn-RS"/>
        </w:rPr>
        <w:t xml:space="preserve"> 92/2002, 100/2003 i 10/2004).</w:t>
      </w:r>
      <w:r w:rsidR="00F01D8E">
        <w:rPr>
          <w:lang w:val="sr-Latn-RS"/>
        </w:rPr>
        <w:t xml:space="preserve"> </w:t>
      </w:r>
    </w:p>
    <w:p w:rsidR="00261842" w:rsidRPr="001E4CDF" w:rsidRDefault="00261842">
      <w:pPr>
        <w:pStyle w:val="ParagraphNumbering"/>
        <w:numPr>
          <w:ilvl w:val="0"/>
          <w:numId w:val="0"/>
        </w:numPr>
        <w:spacing w:line="260" w:lineRule="auto"/>
        <w:jc w:val="both"/>
        <w:rPr>
          <w:lang w:val="sr-Latn-RS"/>
        </w:rPr>
      </w:pPr>
      <w:r w:rsidRPr="001E4CDF">
        <w:rPr>
          <w:lang w:val="sr-Latn-RS"/>
        </w:rPr>
        <w:t>Ocena A</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Redovno usaglašavanje i pražnjenje privremenih računa i akontacija.</w:t>
      </w:r>
    </w:p>
    <w:p w:rsidR="00261842" w:rsidRPr="001E4CDF" w:rsidRDefault="00261842">
      <w:pPr>
        <w:pStyle w:val="ParagraphNumbering"/>
        <w:numPr>
          <w:ilvl w:val="0"/>
          <w:numId w:val="0"/>
        </w:numPr>
        <w:spacing w:line="260" w:lineRule="auto"/>
        <w:jc w:val="both"/>
        <w:rPr>
          <w:lang w:val="sr-Latn-RS"/>
        </w:rPr>
      </w:pPr>
      <w:r w:rsidRPr="001E4CDF">
        <w:rPr>
          <w:lang w:val="sr-Latn-RS"/>
        </w:rPr>
        <w:lastRenderedPageBreak/>
        <w:t>Avansna plaćanja se vrše samo za putovanja u inostranstvo (na osnovu procenta procenjenih potreba).  Na osnovu izveštaja o ukupnom rashodu koji se unosi u računovodstveni sistem zatvara se potraživanje za akontaciju.  Nema privremenih računa.  Ocena A</w:t>
      </w:r>
    </w:p>
    <w:p w:rsidR="00261842" w:rsidRPr="001E4CDF" w:rsidRDefault="00261842">
      <w:pPr>
        <w:pStyle w:val="ParagraphNumbering"/>
        <w:numPr>
          <w:ilvl w:val="0"/>
          <w:numId w:val="0"/>
        </w:numPr>
        <w:rPr>
          <w:lang w:val="sr-Latn-RS"/>
        </w:rPr>
      </w:pPr>
    </w:p>
    <w:p w:rsidR="00261842" w:rsidRPr="001E4CDF" w:rsidRDefault="00261842">
      <w:pPr>
        <w:spacing w:line="260" w:lineRule="auto"/>
        <w:rPr>
          <w:b/>
          <w:szCs w:val="24"/>
          <w:lang w:val="sr-Latn-RS"/>
        </w:rPr>
      </w:pPr>
      <w:r w:rsidRPr="001E4CDF">
        <w:rPr>
          <w:b/>
          <w:sz w:val="20"/>
          <w:szCs w:val="24"/>
          <w:lang w:val="sr-Latn-RS"/>
        </w:rPr>
        <w:t xml:space="preserve">PU 23. </w:t>
      </w:r>
      <w:r w:rsidRPr="001E4CDF">
        <w:rPr>
          <w:b/>
          <w:color w:val="000000"/>
          <w:sz w:val="22"/>
          <w:szCs w:val="24"/>
          <w:lang w:val="sr-Latn-RS"/>
        </w:rPr>
        <w:t>Dostupnost informacija o sredstvima koja primaju jedinice koje pružaju usluge</w:t>
      </w:r>
    </w:p>
    <w:p w:rsidR="00261842" w:rsidRPr="001E4CDF" w:rsidRDefault="00261842">
      <w:pPr>
        <w:rPr>
          <w:b/>
          <w:szCs w:val="24"/>
          <w:lang w:val="sr-Latn-RS"/>
        </w:rPr>
      </w:pPr>
    </w:p>
    <w:tbl>
      <w:tblPr>
        <w:tblW w:w="9039" w:type="dxa"/>
        <w:tblLayout w:type="fixed"/>
        <w:tblLook w:val="0000" w:firstRow="0" w:lastRow="0" w:firstColumn="0" w:lastColumn="0" w:noHBand="0" w:noVBand="0"/>
      </w:tblPr>
      <w:tblGrid>
        <w:gridCol w:w="18"/>
        <w:gridCol w:w="2880"/>
        <w:gridCol w:w="12"/>
        <w:gridCol w:w="1134"/>
        <w:gridCol w:w="4995"/>
      </w:tblGrid>
      <w:tr w:rsidR="00261842" w:rsidRPr="00025057">
        <w:trPr>
          <w:gridBefore w:val="1"/>
          <w:wBefore w:w="18" w:type="dxa"/>
          <w:trHeight w:val="293"/>
        </w:trPr>
        <w:tc>
          <w:tcPr>
            <w:tcW w:w="2880" w:type="dxa"/>
            <w:tcBorders>
              <w:top w:val="single" w:sz="8" w:space="0" w:color="000000"/>
              <w:left w:val="single" w:sz="8" w:space="0" w:color="000000"/>
              <w:bottom w:val="single" w:sz="8" w:space="0" w:color="000000"/>
            </w:tcBorders>
            <w:shd w:val="clear" w:color="auto" w:fill="D2EFFF"/>
          </w:tcPr>
          <w:p w:rsidR="00261842" w:rsidRPr="001E4CDF" w:rsidRDefault="00261842">
            <w:pPr>
              <w:widowControl w:val="0"/>
              <w:suppressAutoHyphens/>
              <w:autoSpaceDE w:val="0"/>
              <w:adjustRightInd w:val="0"/>
              <w:snapToGrid w:val="0"/>
              <w:spacing w:line="240" w:lineRule="auto"/>
              <w:jc w:val="both"/>
              <w:textAlignment w:val="baseline"/>
              <w:rPr>
                <w:rFonts w:ascii="Arial" w:hAnsi="Arial"/>
                <w:color w:val="000000"/>
                <w:sz w:val="20"/>
                <w:szCs w:val="24"/>
                <w:highlight w:val="yellow"/>
                <w:lang w:val="sr-Latn-RS"/>
              </w:rPr>
            </w:pPr>
          </w:p>
        </w:tc>
        <w:tc>
          <w:tcPr>
            <w:tcW w:w="6141" w:type="dxa"/>
            <w:gridSpan w:val="3"/>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2910" w:type="dxa"/>
            <w:gridSpan w:val="3"/>
            <w:tcBorders>
              <w:top w:val="single" w:sz="8" w:space="0" w:color="000000"/>
              <w:left w:val="single" w:sz="8" w:space="0" w:color="000000"/>
              <w:bottom w:val="single" w:sz="8" w:space="0" w:color="000000"/>
            </w:tcBorders>
            <w:shd w:val="clear" w:color="auto" w:fill="D2EFFF"/>
          </w:tcPr>
          <w:p w:rsidR="00261842" w:rsidRPr="00C03E15" w:rsidRDefault="00261842">
            <w:pPr>
              <w:rPr>
                <w:sz w:val="20"/>
                <w:szCs w:val="24"/>
                <w:lang w:val="sr-Latn-RS"/>
              </w:rPr>
            </w:pPr>
          </w:p>
        </w:tc>
        <w:tc>
          <w:tcPr>
            <w:tcW w:w="1134"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jc w:val="center"/>
              <w:rPr>
                <w:sz w:val="20"/>
                <w:szCs w:val="24"/>
                <w:lang w:val="sr-Latn-RS"/>
              </w:rPr>
            </w:pPr>
            <w:r w:rsidRPr="00C03E15">
              <w:rPr>
                <w:sz w:val="20"/>
                <w:szCs w:val="24"/>
                <w:lang w:val="sr-Latn-RS"/>
              </w:rPr>
              <w:t>2014</w:t>
            </w:r>
          </w:p>
        </w:tc>
        <w:tc>
          <w:tcPr>
            <w:tcW w:w="4995" w:type="dxa"/>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spacing w:line="260" w:lineRule="auto"/>
              <w:rPr>
                <w:szCs w:val="24"/>
                <w:lang w:val="sr-Latn-RS"/>
              </w:rPr>
            </w:pPr>
            <w:r w:rsidRPr="00C03E15">
              <w:rPr>
                <w:sz w:val="20"/>
                <w:szCs w:val="24"/>
                <w:lang w:val="sr-Latn-RS"/>
              </w:rPr>
              <w:t>Objašnjenje</w:t>
            </w:r>
          </w:p>
        </w:tc>
      </w:tr>
      <w:tr w:rsidR="00261842" w:rsidRPr="00C03E15">
        <w:trPr>
          <w:trHeight w:val="252"/>
        </w:trPr>
        <w:tc>
          <w:tcPr>
            <w:tcW w:w="2910" w:type="dxa"/>
            <w:gridSpan w:val="3"/>
            <w:tcBorders>
              <w:top w:val="single" w:sz="8" w:space="0" w:color="000000"/>
              <w:left w:val="single" w:sz="8" w:space="0" w:color="000000"/>
              <w:bottom w:val="single" w:sz="4" w:space="0" w:color="auto"/>
            </w:tcBorders>
          </w:tcPr>
          <w:p w:rsidR="00261842" w:rsidRPr="00C03E15" w:rsidRDefault="00261842">
            <w:pPr>
              <w:widowControl w:val="0"/>
              <w:suppressAutoHyphens/>
              <w:autoSpaceDE w:val="0"/>
              <w:adjustRightInd w:val="0"/>
              <w:snapToGrid w:val="0"/>
              <w:spacing w:line="240" w:lineRule="auto"/>
              <w:textAlignment w:val="baseline"/>
              <w:rPr>
                <w:b/>
                <w:sz w:val="20"/>
                <w:szCs w:val="24"/>
                <w:lang w:val="sr-Latn-RS"/>
              </w:rPr>
            </w:pPr>
            <w:r w:rsidRPr="00C03E15">
              <w:rPr>
                <w:b/>
                <w:sz w:val="20"/>
                <w:szCs w:val="24"/>
                <w:lang w:val="sr-Latn-RS"/>
              </w:rPr>
              <w:t xml:space="preserve">PU 23. </w:t>
            </w:r>
            <w:r w:rsidRPr="00C03E15">
              <w:rPr>
                <w:b/>
                <w:color w:val="000000"/>
                <w:sz w:val="22"/>
                <w:szCs w:val="24"/>
                <w:lang w:val="sr-Latn-RS"/>
              </w:rPr>
              <w:t>Dostupnost informacija o sredstvima koja primaju jedinice koje pružaju usluge</w:t>
            </w:r>
          </w:p>
          <w:p w:rsidR="00261842" w:rsidRPr="00C03E15" w:rsidRDefault="00261842">
            <w:pPr>
              <w:rPr>
                <w:b/>
                <w:sz w:val="20"/>
                <w:szCs w:val="24"/>
                <w:lang w:val="sr-Latn-RS"/>
              </w:rPr>
            </w:pP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b/>
                <w:sz w:val="20"/>
                <w:szCs w:val="24"/>
                <w:lang w:val="sr-Latn-RS"/>
              </w:rPr>
              <w:t>Ocena A</w:t>
            </w:r>
          </w:p>
        </w:tc>
        <w:tc>
          <w:tcPr>
            <w:tcW w:w="4995" w:type="dxa"/>
            <w:tcBorders>
              <w:top w:val="single" w:sz="8" w:space="0" w:color="000000"/>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025057">
        <w:trPr>
          <w:trHeight w:val="252"/>
        </w:trPr>
        <w:tc>
          <w:tcPr>
            <w:tcW w:w="2910" w:type="dxa"/>
            <w:gridSpan w:val="3"/>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(i) Prikupljanje i obrada informacija da bi se prikazao obim sredstava (u gotovini ili robi) koja su stvarno dobile jedinice koje pružaju usluge (naglasak je na osnovnim školama i domovima zdravlja) u odnosu na ukupna sredstva koja su sektoru stavljena na raspolaganje, bez obzira na to koji nivo vlasti je odgovoran za rad i finansiranje tih jedinica</w:t>
            </w:r>
          </w:p>
        </w:tc>
        <w:tc>
          <w:tcPr>
            <w:tcW w:w="1134"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4995" w:type="dxa"/>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sz w:val="20"/>
                <w:szCs w:val="24"/>
                <w:lang w:val="sr-Latn-RS"/>
              </w:rPr>
              <w:t xml:space="preserve">Sistemi za redovno prikupljanje podataka ili računovodstveni sistemi obezbeđuju pouzdane informacije o svim vrstama sredstava u gotovini i u robi koja primaju i osnovne škole i domovi zdravlja širom zemlje. </w:t>
            </w:r>
          </w:p>
          <w:p w:rsidR="00261842" w:rsidRPr="00C03E15" w:rsidRDefault="00261842">
            <w:pPr>
              <w:rPr>
                <w:sz w:val="20"/>
                <w:szCs w:val="24"/>
                <w:lang w:val="sr-Latn-RS"/>
              </w:rPr>
            </w:pPr>
          </w:p>
          <w:p w:rsidR="00261842" w:rsidRPr="00C03E15" w:rsidRDefault="00261842">
            <w:pPr>
              <w:spacing w:line="260" w:lineRule="auto"/>
              <w:rPr>
                <w:szCs w:val="24"/>
                <w:lang w:val="sr-Latn-RS"/>
              </w:rPr>
            </w:pPr>
            <w:r w:rsidRPr="00C03E15">
              <w:rPr>
                <w:sz w:val="20"/>
                <w:szCs w:val="24"/>
                <w:lang w:val="sr-Latn-RS"/>
              </w:rPr>
              <w:t>Informacije se prikazuju u izveštajima barem na godišnjem nivou</w:t>
            </w:r>
          </w:p>
        </w:tc>
      </w:tr>
    </w:tbl>
    <w:p w:rsidR="00261842" w:rsidRPr="001E4CDF" w:rsidRDefault="00261842">
      <w:pPr>
        <w:rPr>
          <w:szCs w:val="24"/>
          <w:lang w:val="sr-Latn-RS"/>
        </w:rPr>
      </w:pPr>
    </w:p>
    <w:p w:rsidR="00261842" w:rsidRPr="001E4CDF" w:rsidRDefault="00261842">
      <w:pPr>
        <w:pStyle w:val="ParagraphNumbering"/>
        <w:numPr>
          <w:ilvl w:val="0"/>
          <w:numId w:val="0"/>
        </w:numPr>
        <w:spacing w:line="260" w:lineRule="auto"/>
        <w:jc w:val="both"/>
        <w:rPr>
          <w:b/>
          <w:lang w:val="sr-Latn-RS"/>
        </w:rPr>
      </w:pPr>
      <w:r w:rsidRPr="001E4CDF">
        <w:rPr>
          <w:lang w:val="sr-Latn-RS"/>
        </w:rPr>
        <w:t xml:space="preserve">Ovaj pokazatelj se prvenstveno odnosi na državne škole i domove zdravlja. Ovaj pokazatelj potvrđuje raspoloživost informacija  o odnosu planiranih i ostvarenih sredstava koje primaju jedinice primarne zdravstvene i obrazovne usluge.  </w:t>
      </w:r>
    </w:p>
    <w:p w:rsidR="00261842" w:rsidRPr="001E4CDF" w:rsidRDefault="00261842">
      <w:pPr>
        <w:spacing w:after="240" w:line="260" w:lineRule="auto"/>
        <w:jc w:val="both"/>
        <w:rPr>
          <w:b/>
          <w:szCs w:val="24"/>
          <w:lang w:val="sr-Latn-RS"/>
        </w:rPr>
      </w:pPr>
      <w:r w:rsidRPr="001E4CDF">
        <w:rPr>
          <w:b/>
          <w:szCs w:val="24"/>
          <w:lang w:val="sr-Latn-RS"/>
        </w:rPr>
        <w:t>(i) Prikupljanje i obrada informacija da bi se prikazao obim sredstava (u gotovini ili robi) koja su stvarno dobile jedinice koje pružaju usluge (naglasak je na osnovnim školama i domovima zdravlja) u odnosu na ukupna sredstva koja su sektoru stavljena na raspolaganje, bez obzira na to koji nivo vlasti je odgovoran za rad i finansiranje tih jedinica</w:t>
      </w:r>
    </w:p>
    <w:p w:rsidR="00261842" w:rsidRPr="00A12A49" w:rsidRDefault="00261842">
      <w:pPr>
        <w:spacing w:after="240" w:line="260" w:lineRule="auto"/>
        <w:jc w:val="both"/>
        <w:rPr>
          <w:szCs w:val="24"/>
          <w:lang w:val="sr-Latn-RS"/>
        </w:rPr>
      </w:pPr>
      <w:r w:rsidRPr="00A12A49">
        <w:rPr>
          <w:szCs w:val="24"/>
          <w:lang w:val="sr-Latn-RS"/>
        </w:rPr>
        <w:t>Opština izdvaja novac za obrazovanje i zdravstvo.  Iznosi plata u opštinama isplaćenih u tim sektorima od strane Republike su dostupni i u pojedinim jedinicama.   Ove informacije se prikazuju u formi jedinstvenog godišnjeg izveštaja koji se šalje opštinama i relevantnom ministarstvu.  Izveštaj obuhvata i sredstva u naturi.  Ocena A</w:t>
      </w:r>
    </w:p>
    <w:p w:rsidR="00261842" w:rsidRPr="001E4CDF" w:rsidRDefault="00261842">
      <w:pPr>
        <w:spacing w:line="260" w:lineRule="auto"/>
        <w:rPr>
          <w:b/>
          <w:szCs w:val="24"/>
          <w:lang w:val="sr-Latn-RS"/>
        </w:rPr>
      </w:pPr>
      <w:r w:rsidRPr="001E4CDF">
        <w:rPr>
          <w:b/>
          <w:sz w:val="20"/>
          <w:szCs w:val="24"/>
          <w:lang w:val="sr-Latn-RS"/>
        </w:rPr>
        <w:lastRenderedPageBreak/>
        <w:t>PU 24.</w:t>
      </w:r>
      <w:r w:rsidRPr="001E4CDF">
        <w:rPr>
          <w:b/>
          <w:color w:val="000000"/>
          <w:sz w:val="22"/>
          <w:szCs w:val="24"/>
          <w:lang w:val="sr-Latn-RS"/>
        </w:rPr>
        <w:t xml:space="preserve"> </w:t>
      </w:r>
      <w:r w:rsidRPr="001E4CDF">
        <w:rPr>
          <w:b/>
          <w:sz w:val="20"/>
          <w:szCs w:val="24"/>
          <w:lang w:val="sr-Latn-RS"/>
        </w:rPr>
        <w:t xml:space="preserve">Kvalitet i </w:t>
      </w:r>
      <w:proofErr w:type="spellStart"/>
      <w:r w:rsidRPr="001E4CDF">
        <w:rPr>
          <w:b/>
          <w:sz w:val="20"/>
          <w:szCs w:val="24"/>
          <w:lang w:val="sr-Latn-RS"/>
        </w:rPr>
        <w:t>blagovremenost</w:t>
      </w:r>
      <w:proofErr w:type="spellEnd"/>
      <w:r w:rsidRPr="001E4CDF">
        <w:rPr>
          <w:b/>
          <w:sz w:val="20"/>
          <w:szCs w:val="24"/>
          <w:lang w:val="sr-Latn-RS"/>
        </w:rPr>
        <w:t xml:space="preserve"> budžetskih izveštaja u toku godine</w:t>
      </w:r>
    </w:p>
    <w:p w:rsidR="00261842" w:rsidRPr="001E4CDF" w:rsidRDefault="00261842">
      <w:pPr>
        <w:rPr>
          <w:szCs w:val="24"/>
          <w:lang w:val="sr-Latn-RS"/>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2883"/>
        <w:gridCol w:w="7"/>
        <w:gridCol w:w="1051"/>
        <w:gridCol w:w="5085"/>
      </w:tblGrid>
      <w:tr w:rsidR="00261842" w:rsidRPr="00025057">
        <w:trPr>
          <w:gridBefore w:val="1"/>
          <w:wBefore w:w="9" w:type="pct"/>
          <w:trHeight w:val="293"/>
        </w:trPr>
        <w:tc>
          <w:tcPr>
            <w:tcW w:w="1594" w:type="pct"/>
            <w:tcBorders>
              <w:top w:val="single" w:sz="8" w:space="0" w:color="000000"/>
              <w:left w:val="single" w:sz="8" w:space="0" w:color="000000"/>
              <w:bottom w:val="single" w:sz="8" w:space="0" w:color="000000"/>
              <w:right w:val="single" w:sz="8" w:space="0" w:color="000000"/>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both"/>
              <w:textAlignment w:val="baseline"/>
              <w:rPr>
                <w:rFonts w:ascii="Arial" w:hAnsi="Arial"/>
                <w:color w:val="000000"/>
                <w:sz w:val="20"/>
                <w:szCs w:val="24"/>
                <w:highlight w:val="yellow"/>
                <w:lang w:val="sr-Latn-RS"/>
              </w:rPr>
            </w:pPr>
          </w:p>
        </w:tc>
        <w:tc>
          <w:tcPr>
            <w:tcW w:w="3396" w:type="pct"/>
            <w:gridSpan w:val="3"/>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607" w:type="pct"/>
            <w:gridSpan w:val="3"/>
            <w:tcBorders>
              <w:top w:val="single" w:sz="8" w:space="0" w:color="000000"/>
              <w:left w:val="single" w:sz="8" w:space="0" w:color="000000"/>
              <w:bottom w:val="single" w:sz="8" w:space="0" w:color="000000"/>
            </w:tcBorders>
            <w:shd w:val="clear" w:color="auto" w:fill="D2EFFF"/>
          </w:tcPr>
          <w:p w:rsidR="00261842" w:rsidRPr="00C03E15" w:rsidRDefault="00261842">
            <w:pPr>
              <w:rPr>
                <w:sz w:val="20"/>
                <w:szCs w:val="24"/>
                <w:lang w:val="sr-Latn-RS"/>
              </w:rPr>
            </w:pPr>
          </w:p>
        </w:tc>
        <w:tc>
          <w:tcPr>
            <w:tcW w:w="581" w:type="pct"/>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jc w:val="center"/>
              <w:rPr>
                <w:sz w:val="20"/>
                <w:szCs w:val="24"/>
                <w:lang w:val="sr-Latn-RS"/>
              </w:rPr>
            </w:pPr>
            <w:r w:rsidRPr="00C03E15">
              <w:rPr>
                <w:sz w:val="20"/>
                <w:szCs w:val="24"/>
                <w:lang w:val="sr-Latn-RS"/>
              </w:rPr>
              <w:t>2014</w:t>
            </w:r>
          </w:p>
        </w:tc>
        <w:tc>
          <w:tcPr>
            <w:tcW w:w="2812" w:type="pct"/>
            <w:tcBorders>
              <w:top w:val="single" w:sz="8" w:space="0" w:color="000000"/>
              <w:left w:val="single" w:sz="8" w:space="0" w:color="000000"/>
              <w:bottom w:val="single" w:sz="8" w:space="0" w:color="000000"/>
              <w:right w:val="single" w:sz="8" w:space="0" w:color="000000"/>
            </w:tcBorders>
            <w:shd w:val="clear" w:color="auto" w:fill="D2EFFF"/>
          </w:tcPr>
          <w:p w:rsidR="00261842" w:rsidRPr="00C03E15" w:rsidRDefault="00261842">
            <w:pPr>
              <w:spacing w:line="260" w:lineRule="auto"/>
              <w:jc w:val="center"/>
              <w:rPr>
                <w:szCs w:val="24"/>
                <w:lang w:val="sr-Latn-RS"/>
              </w:rPr>
            </w:pPr>
            <w:r w:rsidRPr="00C03E15">
              <w:rPr>
                <w:sz w:val="20"/>
                <w:szCs w:val="24"/>
                <w:lang w:val="sr-Latn-RS"/>
              </w:rPr>
              <w:t>Objašnjenje</w:t>
            </w:r>
          </w:p>
        </w:tc>
      </w:tr>
      <w:tr w:rsidR="00261842" w:rsidRPr="00C03E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607" w:type="pct"/>
            <w:gridSpan w:val="3"/>
            <w:tcBorders>
              <w:top w:val="single" w:sz="8" w:space="0" w:color="000000"/>
              <w:left w:val="single" w:sz="8" w:space="0" w:color="000000"/>
              <w:bottom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b/>
                <w:sz w:val="20"/>
                <w:szCs w:val="24"/>
                <w:lang w:val="sr-Latn-RS"/>
              </w:rPr>
              <w:t>PU 24.</w:t>
            </w:r>
            <w:r w:rsidRPr="00C03E15">
              <w:rPr>
                <w:b/>
                <w:color w:val="000000"/>
                <w:sz w:val="22"/>
                <w:szCs w:val="24"/>
                <w:lang w:val="sr-Latn-RS"/>
              </w:rPr>
              <w:t xml:space="preserve"> </w:t>
            </w:r>
            <w:r w:rsidRPr="00C03E15">
              <w:rPr>
                <w:b/>
                <w:sz w:val="20"/>
                <w:szCs w:val="24"/>
                <w:lang w:val="sr-Latn-RS"/>
              </w:rPr>
              <w:t xml:space="preserve">Kvalitet i </w:t>
            </w:r>
            <w:proofErr w:type="spellStart"/>
            <w:r w:rsidRPr="00C03E15">
              <w:rPr>
                <w:b/>
                <w:sz w:val="20"/>
                <w:szCs w:val="24"/>
                <w:lang w:val="sr-Latn-RS"/>
              </w:rPr>
              <w:t>blagovremenost</w:t>
            </w:r>
            <w:proofErr w:type="spellEnd"/>
            <w:r w:rsidRPr="00C03E15">
              <w:rPr>
                <w:b/>
                <w:sz w:val="20"/>
                <w:szCs w:val="24"/>
                <w:lang w:val="sr-Latn-RS"/>
              </w:rPr>
              <w:t xml:space="preserve"> budžetskih izveštaja u toku godine</w:t>
            </w:r>
          </w:p>
        </w:tc>
        <w:tc>
          <w:tcPr>
            <w:tcW w:w="581"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b/>
                <w:sz w:val="20"/>
                <w:szCs w:val="24"/>
                <w:lang w:val="sr-Latn-RS"/>
              </w:rPr>
              <w:t>Ocena C+</w:t>
            </w:r>
          </w:p>
        </w:tc>
        <w:tc>
          <w:tcPr>
            <w:tcW w:w="2812" w:type="pct"/>
            <w:tcBorders>
              <w:top w:val="single" w:sz="8" w:space="0" w:color="000000"/>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025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607" w:type="pct"/>
            <w:gridSpan w:val="3"/>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(i) Opseg izveštaja u pogledu obuhvata i kompatibilnosti sa budžetskim procenama</w:t>
            </w:r>
          </w:p>
        </w:tc>
        <w:tc>
          <w:tcPr>
            <w:tcW w:w="581"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C</w:t>
            </w:r>
          </w:p>
        </w:tc>
        <w:tc>
          <w:tcPr>
            <w:tcW w:w="2812"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sz w:val="20"/>
                <w:szCs w:val="24"/>
                <w:lang w:val="sr-Latn-RS"/>
              </w:rPr>
              <w:t>Upoređivanje sa budžetom je moguće samo na nivou glavnih administrativnih naslova. Rashodi su obuhvaćeni ili u fazi obaveza ili u fazi plaćanja (a ne u obe faze).</w:t>
            </w:r>
          </w:p>
        </w:tc>
      </w:tr>
      <w:tr w:rsidR="00261842" w:rsidRPr="00025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607" w:type="pct"/>
            <w:gridSpan w:val="3"/>
            <w:tcBorders>
              <w:top w:val="single" w:sz="4" w:space="0" w:color="auto"/>
              <w:left w:val="single" w:sz="4" w:space="0" w:color="auto"/>
              <w:bottom w:val="single" w:sz="4" w:space="0" w:color="auto"/>
              <w:right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xml:space="preserve">) </w:t>
            </w:r>
            <w:proofErr w:type="spellStart"/>
            <w:r w:rsidRPr="00C03E15">
              <w:rPr>
                <w:sz w:val="20"/>
                <w:szCs w:val="24"/>
                <w:lang w:val="sr-Latn-RS"/>
              </w:rPr>
              <w:t>Blagovremenost</w:t>
            </w:r>
            <w:proofErr w:type="spellEnd"/>
            <w:r w:rsidRPr="00C03E15">
              <w:rPr>
                <w:sz w:val="20"/>
                <w:szCs w:val="24"/>
                <w:lang w:val="sr-Latn-RS"/>
              </w:rPr>
              <w:t xml:space="preserve"> objavljivanja izveštaja</w:t>
            </w:r>
          </w:p>
        </w:tc>
        <w:tc>
          <w:tcPr>
            <w:tcW w:w="581"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2812"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40" w:lineRule="auto"/>
              <w:jc w:val="both"/>
              <w:rPr>
                <w:szCs w:val="24"/>
                <w:lang w:val="sr-Latn-RS"/>
              </w:rPr>
            </w:pPr>
            <w:r w:rsidRPr="00C03E15">
              <w:rPr>
                <w:sz w:val="20"/>
                <w:szCs w:val="24"/>
                <w:lang w:val="sr-Latn-RS"/>
              </w:rPr>
              <w:t xml:space="preserve">Izveštaji se izrađuju </w:t>
            </w:r>
            <w:proofErr w:type="spellStart"/>
            <w:r w:rsidRPr="00C03E15">
              <w:rPr>
                <w:sz w:val="20"/>
                <w:szCs w:val="24"/>
                <w:lang w:val="sr-Latn-RS"/>
              </w:rPr>
              <w:t>kvartalno</w:t>
            </w:r>
            <w:proofErr w:type="spellEnd"/>
            <w:r w:rsidRPr="00C03E15">
              <w:rPr>
                <w:sz w:val="20"/>
                <w:szCs w:val="24"/>
                <w:lang w:val="sr-Latn-RS"/>
              </w:rPr>
              <w:t xml:space="preserve"> ili češće i objavljuju u roku od 4 nedelje po isteku perioda. </w:t>
            </w:r>
          </w:p>
        </w:tc>
      </w:tr>
      <w:tr w:rsidR="00261842" w:rsidRPr="000250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1607" w:type="pct"/>
            <w:gridSpan w:val="3"/>
            <w:tcBorders>
              <w:top w:val="single" w:sz="4" w:space="0" w:color="auto"/>
              <w:left w:val="single" w:sz="4" w:space="0" w:color="auto"/>
              <w:bottom w:val="single" w:sz="4" w:space="0" w:color="auto"/>
              <w:right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Kvalitet informacija</w:t>
            </w:r>
          </w:p>
        </w:tc>
        <w:tc>
          <w:tcPr>
            <w:tcW w:w="581"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2812"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color w:val="000000"/>
                <w:sz w:val="20"/>
                <w:szCs w:val="24"/>
                <w:lang w:val="sr-Latn-RS"/>
              </w:rPr>
              <w:t>Nema značajnih nedostataka u pogledu preciznosti podataka.</w:t>
            </w:r>
          </w:p>
        </w:tc>
      </w:tr>
    </w:tbl>
    <w:p w:rsidR="00261842" w:rsidRPr="001E4CDF" w:rsidRDefault="00261842">
      <w:pPr>
        <w:tabs>
          <w:tab w:val="num" w:pos="720"/>
          <w:tab w:val="num" w:pos="1146"/>
        </w:tabs>
        <w:rPr>
          <w:b/>
          <w:szCs w:val="24"/>
          <w:lang w:val="sr-Latn-RS"/>
        </w:rPr>
      </w:pPr>
    </w:p>
    <w:p w:rsidR="00261842" w:rsidRPr="001E4CDF" w:rsidRDefault="00261842">
      <w:pPr>
        <w:pStyle w:val="ParagraphNumbering"/>
        <w:numPr>
          <w:ilvl w:val="0"/>
          <w:numId w:val="0"/>
        </w:numPr>
        <w:spacing w:line="260" w:lineRule="auto"/>
        <w:jc w:val="both"/>
        <w:rPr>
          <w:lang w:val="sr-Latn-RS"/>
        </w:rPr>
      </w:pPr>
      <w:r w:rsidRPr="001E4CDF">
        <w:rPr>
          <w:lang w:val="sr-Latn-RS"/>
        </w:rPr>
        <w:t>Ovaj indikator ocenjuje u kojoj meri su sveobuhvatni, pravovremeni i tačni izveštaji o izvršenju budžeta pripremljeni za organe upravljanja. Blagovremene i redovne informacije o stvarnom izvršenju budžeta moraju biti dostupne opštinskom organu nadležnom za finansije, radi praćenja izvršenja.</w:t>
      </w:r>
    </w:p>
    <w:p w:rsidR="00261842" w:rsidRPr="001E4CDF" w:rsidRDefault="00261842">
      <w:pPr>
        <w:tabs>
          <w:tab w:val="num" w:pos="720"/>
          <w:tab w:val="num" w:pos="1146"/>
        </w:tabs>
        <w:rPr>
          <w:b/>
          <w:szCs w:val="24"/>
          <w:lang w:val="sr-Latn-RS"/>
        </w:rPr>
      </w:pP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(i) Opseg izveštaja u pogledu obuhvata i kompatibilnosti sa budžetskim procenama</w:t>
      </w:r>
    </w:p>
    <w:p w:rsidR="00261842" w:rsidRPr="00AA028E" w:rsidRDefault="00261842">
      <w:pPr>
        <w:pStyle w:val="ParagraphNumbering"/>
        <w:numPr>
          <w:ilvl w:val="0"/>
          <w:numId w:val="0"/>
        </w:numPr>
        <w:spacing w:line="260" w:lineRule="auto"/>
        <w:jc w:val="both"/>
        <w:rPr>
          <w:lang w:val="sr-Latn-RS"/>
        </w:rPr>
      </w:pPr>
      <w:r w:rsidRPr="00AA028E">
        <w:rPr>
          <w:lang w:val="sr-Latn-RS"/>
        </w:rPr>
        <w:t xml:space="preserve">Izveštaji o troškovima u fazi plaćanja se rade mesečno, </w:t>
      </w:r>
      <w:proofErr w:type="spellStart"/>
      <w:r w:rsidRPr="00AA028E">
        <w:rPr>
          <w:lang w:val="sr-Latn-RS"/>
        </w:rPr>
        <w:t>kvartalno</w:t>
      </w:r>
      <w:proofErr w:type="spellEnd"/>
      <w:r w:rsidRPr="00AA028E">
        <w:rPr>
          <w:lang w:val="sr-Latn-RS"/>
        </w:rPr>
        <w:t xml:space="preserve"> i godišnje koristeći istu klasifikaciju kao i budžet, ali ne i za preuzete obaveze (videti PU-20 (i)).  </w:t>
      </w:r>
    </w:p>
    <w:p w:rsidR="00261842" w:rsidRPr="00422033" w:rsidRDefault="00261842" w:rsidP="00422033">
      <w:pPr>
        <w:pStyle w:val="ParagraphNumbering"/>
        <w:numPr>
          <w:ilvl w:val="0"/>
          <w:numId w:val="0"/>
        </w:numPr>
        <w:spacing w:after="0" w:line="240" w:lineRule="auto"/>
        <w:jc w:val="both"/>
        <w:rPr>
          <w:lang w:val="sr-Latn-RS"/>
        </w:rPr>
      </w:pPr>
      <w:r w:rsidRPr="00422033">
        <w:rPr>
          <w:lang w:val="sr-Latn-RS"/>
        </w:rPr>
        <w:t xml:space="preserve">Isti format i obuhvat se koriste na osnovu jedinstvenog računovodstvenog sistema i budžetske klasifikacije.  Godišnji i šestomesečni izveštaji se podnose Gradonačelniku, Veću i Skupštini a potom objavljuju u službenom glasniku.  Godišnji izveštaj mora da se pošalje Ministarstvu finansija do kraja marta naredne godine.  </w:t>
      </w:r>
    </w:p>
    <w:p w:rsidR="00261842" w:rsidRPr="00422033" w:rsidRDefault="00261842" w:rsidP="00422033">
      <w:pPr>
        <w:tabs>
          <w:tab w:val="num" w:pos="720"/>
          <w:tab w:val="num" w:pos="1146"/>
        </w:tabs>
        <w:spacing w:line="260" w:lineRule="auto"/>
        <w:jc w:val="both"/>
        <w:rPr>
          <w:szCs w:val="24"/>
          <w:lang w:val="sr-Latn-RS"/>
        </w:rPr>
      </w:pPr>
      <w:r w:rsidRPr="00422033">
        <w:rPr>
          <w:szCs w:val="24"/>
          <w:lang w:val="sr-Latn-RS"/>
        </w:rPr>
        <w:t>Budžetske izveštaje u toku godine reguliše:</w:t>
      </w:r>
    </w:p>
    <w:p w:rsidR="00261842" w:rsidRPr="00422033" w:rsidRDefault="00261842" w:rsidP="00422033">
      <w:pPr>
        <w:pStyle w:val="ListParagraph"/>
        <w:numPr>
          <w:ilvl w:val="0"/>
          <w:numId w:val="35"/>
        </w:numPr>
        <w:spacing w:line="260" w:lineRule="auto"/>
        <w:jc w:val="both"/>
        <w:rPr>
          <w:szCs w:val="24"/>
          <w:lang w:val="sr-Latn-RS"/>
        </w:rPr>
      </w:pPr>
      <w:r w:rsidRPr="00422033">
        <w:rPr>
          <w:szCs w:val="24"/>
          <w:lang w:val="sr-Latn-RS"/>
        </w:rPr>
        <w:t>Uredba o budžetskom računovodstvu</w:t>
      </w:r>
      <w:r w:rsidRPr="00422033">
        <w:rPr>
          <w:rStyle w:val="FootnoteReference"/>
          <w:szCs w:val="24"/>
          <w:lang w:val="sr-Latn-RS"/>
        </w:rPr>
        <w:footnoteReference w:id="15"/>
      </w:r>
      <w:r w:rsidRPr="00422033">
        <w:rPr>
          <w:szCs w:val="24"/>
          <w:lang w:val="sr-Latn-RS"/>
        </w:rPr>
        <w:t xml:space="preserve">: Svi indirektni budžetski korisnici pripremaju </w:t>
      </w:r>
      <w:proofErr w:type="spellStart"/>
      <w:r w:rsidRPr="00422033">
        <w:rPr>
          <w:szCs w:val="24"/>
          <w:lang w:val="sr-Latn-RS"/>
        </w:rPr>
        <w:t>kvartalne</w:t>
      </w:r>
      <w:proofErr w:type="spellEnd"/>
      <w:r w:rsidRPr="00422033">
        <w:rPr>
          <w:szCs w:val="24"/>
          <w:lang w:val="sr-Latn-RS"/>
        </w:rPr>
        <w:t xml:space="preserve"> izveštaje o izvršenju budžeta u roku od 10 dana po isteku kvartala i podnose ih svoji direktnim budžetskim korisnicima. Oni sravnjuju ove </w:t>
      </w:r>
      <w:r w:rsidRPr="00422033">
        <w:rPr>
          <w:szCs w:val="24"/>
          <w:lang w:val="sr-Latn-RS"/>
        </w:rPr>
        <w:lastRenderedPageBreak/>
        <w:t xml:space="preserve">izveštaje sa podacima iz Glavne knjige Trezora, konsoliduju ih i podnose </w:t>
      </w:r>
      <w:proofErr w:type="spellStart"/>
      <w:r w:rsidRPr="00422033">
        <w:rPr>
          <w:szCs w:val="24"/>
          <w:lang w:val="sr-Latn-RS"/>
        </w:rPr>
        <w:t>entitetu</w:t>
      </w:r>
      <w:proofErr w:type="spellEnd"/>
      <w:r w:rsidRPr="00422033">
        <w:rPr>
          <w:szCs w:val="24"/>
          <w:lang w:val="sr-Latn-RS"/>
        </w:rPr>
        <w:t xml:space="preserve"> koji je zadužen za finansije u roku od 20 dana po isteku kvartala.</w:t>
      </w:r>
    </w:p>
    <w:p w:rsidR="00261842" w:rsidRPr="00422033" w:rsidRDefault="00261842" w:rsidP="00422033">
      <w:pPr>
        <w:pStyle w:val="ListParagraph"/>
        <w:numPr>
          <w:ilvl w:val="0"/>
          <w:numId w:val="35"/>
        </w:numPr>
        <w:spacing w:line="260" w:lineRule="auto"/>
        <w:jc w:val="both"/>
        <w:rPr>
          <w:szCs w:val="24"/>
          <w:lang w:val="sr-Latn-RS"/>
        </w:rPr>
      </w:pPr>
      <w:r w:rsidRPr="00422033">
        <w:rPr>
          <w:color w:val="000000"/>
          <w:szCs w:val="24"/>
          <w:shd w:val="clear" w:color="auto" w:fill="FFFFFF"/>
          <w:lang w:val="sr-Latn-RS"/>
        </w:rPr>
        <w:t>Pravilnik o sadržaju i načinu finansijskog izveštavanja o planiranim i ostvarenim prihodima i primanjima i planiranim i izvršenim rashodima i izdacima jedinica lokalne samouprave</w:t>
      </w:r>
      <w:r w:rsidRPr="00422033">
        <w:rPr>
          <w:szCs w:val="24"/>
          <w:lang w:val="sr-Latn-RS"/>
        </w:rPr>
        <w:t xml:space="preserve">: </w:t>
      </w:r>
      <w:r w:rsidRPr="00422033">
        <w:rPr>
          <w:color w:val="000000"/>
          <w:szCs w:val="24"/>
          <w:shd w:val="clear" w:color="auto" w:fill="FFFFFF"/>
          <w:lang w:val="sr-Latn-RS"/>
        </w:rPr>
        <w:t>Pravilnik o sadržaju i načinu finansijskog izveštavanja o planiranim i ostvarenim prihodima i primanjima i planiranim i izvršenim rashodima i izdacima jedinica lokalne samouprave</w:t>
      </w:r>
      <w:r w:rsidRPr="00422033">
        <w:rPr>
          <w:szCs w:val="24"/>
          <w:lang w:val="sr-Latn-RS"/>
        </w:rPr>
        <w:t>: Obrazac 1 – Prihodi i primanja, Obrazac 2 – Rashodi i izdaci po ekono</w:t>
      </w:r>
      <w:r w:rsidR="00AA028E">
        <w:rPr>
          <w:szCs w:val="24"/>
          <w:lang w:val="sr-Latn-RS"/>
        </w:rPr>
        <w:t>ms</w:t>
      </w:r>
      <w:r w:rsidRPr="00422033">
        <w:rPr>
          <w:szCs w:val="24"/>
          <w:lang w:val="sr-Latn-RS"/>
        </w:rPr>
        <w:t xml:space="preserve">koj i funkcionalnoj klasifikaciji, Obrazac 2a – transferi za osnovno i srednje obrazovanje, Obrazac 3 – suficit i deficit sa računom finansiranja, Obrazac 4 – plate i broj zaposlenih u lokalnoj samoupravi, Obrazac 5 – nivo zaduženosti. Svi obrasci se podnose Upravi za trezor do 15. januara tekuće fiskalne godine. Obrasci  1, 2, 2a i 5 se podnose mesečno i </w:t>
      </w:r>
      <w:proofErr w:type="spellStart"/>
      <w:r w:rsidRPr="00422033">
        <w:rPr>
          <w:szCs w:val="24"/>
          <w:lang w:val="sr-Latn-RS"/>
        </w:rPr>
        <w:t>kvartalno</w:t>
      </w:r>
      <w:proofErr w:type="spellEnd"/>
      <w:r w:rsidRPr="00422033">
        <w:rPr>
          <w:szCs w:val="24"/>
          <w:lang w:val="sr-Latn-RS"/>
        </w:rPr>
        <w:t xml:space="preserve"> u roku od 15 dana od isteka perioda na koji se odnose. </w:t>
      </w:r>
    </w:p>
    <w:p w:rsidR="00261842" w:rsidRPr="001E4CDF" w:rsidRDefault="00261842" w:rsidP="00422033">
      <w:pPr>
        <w:pStyle w:val="ParagraphNumbering"/>
        <w:numPr>
          <w:ilvl w:val="0"/>
          <w:numId w:val="0"/>
        </w:numPr>
        <w:spacing w:line="260" w:lineRule="auto"/>
        <w:jc w:val="both"/>
        <w:rPr>
          <w:lang w:val="sr-Latn-RS"/>
        </w:rPr>
      </w:pPr>
      <w:r w:rsidRPr="00422033">
        <w:rPr>
          <w:lang w:val="sr-Latn-RS"/>
        </w:rPr>
        <w:t xml:space="preserve">Ocena C </w:t>
      </w:r>
    </w:p>
    <w:p w:rsidR="00261842" w:rsidRPr="001E4CDF" w:rsidRDefault="00261842">
      <w:pPr>
        <w:pStyle w:val="ParagraphNumbering"/>
        <w:numPr>
          <w:ilvl w:val="0"/>
          <w:numId w:val="0"/>
        </w:numPr>
        <w:spacing w:line="260" w:lineRule="auto"/>
        <w:jc w:val="both"/>
        <w:rPr>
          <w:b/>
          <w:lang w:val="sr-Latn-RS"/>
        </w:rPr>
      </w:pPr>
      <w:r w:rsidRPr="001E4CDF">
        <w:rPr>
          <w:b/>
          <w:lang w:val="sr-Latn-RS"/>
        </w:rPr>
        <w:t>(</w:t>
      </w:r>
      <w:proofErr w:type="spellStart"/>
      <w:r w:rsidRPr="001E4CDF">
        <w:rPr>
          <w:b/>
          <w:lang w:val="sr-Latn-RS"/>
        </w:rPr>
        <w:t>ii</w:t>
      </w:r>
      <w:proofErr w:type="spellEnd"/>
      <w:r w:rsidRPr="001E4CDF">
        <w:rPr>
          <w:b/>
          <w:lang w:val="sr-Latn-RS"/>
        </w:rPr>
        <w:t xml:space="preserve">) </w:t>
      </w:r>
      <w:proofErr w:type="spellStart"/>
      <w:r w:rsidRPr="001E4CDF">
        <w:rPr>
          <w:b/>
          <w:lang w:val="sr-Latn-RS"/>
        </w:rPr>
        <w:t>Blagovremenost</w:t>
      </w:r>
      <w:proofErr w:type="spellEnd"/>
      <w:r w:rsidRPr="001E4CDF">
        <w:rPr>
          <w:b/>
          <w:lang w:val="sr-Latn-RS"/>
        </w:rPr>
        <w:t xml:space="preserve"> objavljivanja izveštaja</w:t>
      </w:r>
    </w:p>
    <w:p w:rsidR="00261842" w:rsidRPr="00AA028E" w:rsidRDefault="00261842">
      <w:pPr>
        <w:pStyle w:val="ParagraphNumbering"/>
        <w:numPr>
          <w:ilvl w:val="0"/>
          <w:numId w:val="0"/>
        </w:numPr>
        <w:tabs>
          <w:tab w:val="num" w:pos="1146"/>
        </w:tabs>
        <w:spacing w:after="0" w:line="260" w:lineRule="auto"/>
        <w:jc w:val="both"/>
        <w:rPr>
          <w:lang w:val="sr-Latn-RS"/>
        </w:rPr>
      </w:pPr>
      <w:r w:rsidRPr="00AA028E">
        <w:rPr>
          <w:lang w:val="sr-Latn-RS"/>
        </w:rPr>
        <w:t xml:space="preserve">Izveštaji se sačinjavaju mesečno i </w:t>
      </w:r>
      <w:proofErr w:type="spellStart"/>
      <w:r w:rsidRPr="00AA028E">
        <w:rPr>
          <w:lang w:val="sr-Latn-RS"/>
        </w:rPr>
        <w:t>kvartalno</w:t>
      </w:r>
      <w:proofErr w:type="spellEnd"/>
      <w:r w:rsidRPr="00AA028E">
        <w:rPr>
          <w:lang w:val="sr-Latn-RS"/>
        </w:rPr>
        <w:t xml:space="preserve"> u roku od 10 ili 15 dan u zavisnosti od vrste izveštavanja i ovaj zahtev je ispunjen.  . Ocena A</w:t>
      </w:r>
    </w:p>
    <w:p w:rsidR="00261842" w:rsidRPr="001E4CDF" w:rsidRDefault="00261842">
      <w:pPr>
        <w:pStyle w:val="ParagraphNumbering"/>
        <w:numPr>
          <w:ilvl w:val="0"/>
          <w:numId w:val="0"/>
        </w:numPr>
        <w:tabs>
          <w:tab w:val="num" w:pos="1146"/>
        </w:tabs>
        <w:spacing w:after="0"/>
        <w:jc w:val="both"/>
        <w:rPr>
          <w:b/>
          <w:lang w:val="sr-Latn-RS"/>
        </w:rPr>
      </w:pPr>
    </w:p>
    <w:p w:rsidR="00261842" w:rsidRPr="001E4CDF" w:rsidRDefault="00261842">
      <w:pPr>
        <w:pStyle w:val="ParagraphNumbering"/>
        <w:numPr>
          <w:ilvl w:val="0"/>
          <w:numId w:val="0"/>
        </w:numPr>
        <w:tabs>
          <w:tab w:val="num" w:pos="1146"/>
        </w:tabs>
        <w:spacing w:after="0" w:line="260" w:lineRule="auto"/>
        <w:jc w:val="both"/>
        <w:rPr>
          <w:b/>
          <w:lang w:val="sr-Latn-RS"/>
        </w:rPr>
      </w:pPr>
      <w:r w:rsidRPr="001E4CDF">
        <w:rPr>
          <w:b/>
          <w:lang w:val="sr-Latn-RS"/>
        </w:rPr>
        <w:t>(</w:t>
      </w:r>
      <w:proofErr w:type="spellStart"/>
      <w:r w:rsidRPr="001E4CDF">
        <w:rPr>
          <w:b/>
          <w:lang w:val="sr-Latn-RS"/>
        </w:rPr>
        <w:t>iii</w:t>
      </w:r>
      <w:proofErr w:type="spellEnd"/>
      <w:r w:rsidRPr="001E4CDF">
        <w:rPr>
          <w:b/>
          <w:lang w:val="sr-Latn-RS"/>
        </w:rPr>
        <w:t>) Kvalitet informacija</w:t>
      </w:r>
    </w:p>
    <w:p w:rsidR="00261842" w:rsidRPr="001E4CDF" w:rsidRDefault="00261842">
      <w:pPr>
        <w:pStyle w:val="ParagraphNumbering"/>
        <w:numPr>
          <w:ilvl w:val="0"/>
          <w:numId w:val="0"/>
        </w:numPr>
        <w:tabs>
          <w:tab w:val="num" w:pos="1146"/>
        </w:tabs>
        <w:spacing w:after="0"/>
        <w:jc w:val="both"/>
        <w:rPr>
          <w:b/>
          <w:lang w:val="sr-Latn-RS"/>
        </w:rPr>
      </w:pPr>
    </w:p>
    <w:p w:rsidR="00261842" w:rsidRPr="001E4CDF" w:rsidRDefault="00261842">
      <w:pPr>
        <w:pStyle w:val="ParagraphNumbering"/>
        <w:numPr>
          <w:ilvl w:val="0"/>
          <w:numId w:val="0"/>
        </w:numPr>
        <w:spacing w:line="260" w:lineRule="auto"/>
        <w:jc w:val="both"/>
        <w:rPr>
          <w:b/>
          <w:lang w:val="sr-Latn-RS"/>
        </w:rPr>
      </w:pPr>
      <w:r w:rsidRPr="001E4CDF">
        <w:rPr>
          <w:lang w:val="sr-Latn-RS"/>
        </w:rPr>
        <w:t xml:space="preserve">Mesečni izveštaji za trošenja u prethodnom mesecu su realistični. Preciznost i </w:t>
      </w:r>
      <w:proofErr w:type="spellStart"/>
      <w:r w:rsidRPr="001E4CDF">
        <w:rPr>
          <w:lang w:val="sr-Latn-RS"/>
        </w:rPr>
        <w:t>sveobuhvatnost</w:t>
      </w:r>
      <w:proofErr w:type="spellEnd"/>
      <w:r w:rsidRPr="001E4CDF">
        <w:rPr>
          <w:lang w:val="sr-Latn-RS"/>
        </w:rPr>
        <w:t xml:space="preserve"> podataka u izveštajima se obezbeđuje sravnjivanjem sa konsolidovanim računom trezora u Upravi za trezor i automatizovanom i logičkom kontrolom u okviru Uprave za trezor.  Preciznost i </w:t>
      </w:r>
      <w:proofErr w:type="spellStart"/>
      <w:r w:rsidRPr="001E4CDF">
        <w:rPr>
          <w:lang w:val="sr-Latn-RS"/>
        </w:rPr>
        <w:t>sveobuhvatnost</w:t>
      </w:r>
      <w:proofErr w:type="spellEnd"/>
      <w:r w:rsidRPr="001E4CDF">
        <w:rPr>
          <w:lang w:val="sr-Latn-RS"/>
        </w:rPr>
        <w:t xml:space="preserve"> podataka u izveštajima se obezbeđuje sravnjivanjem sa konsolidovanim računom trezora u Upravi za trezor i automatizovanom i logičkom kontrolom u okviru Uprave za trezor.</w:t>
      </w:r>
      <w:r w:rsidR="00AA028E">
        <w:rPr>
          <w:lang w:val="sr-Latn-RS"/>
        </w:rPr>
        <w:t xml:space="preserve"> Ocena A</w:t>
      </w:r>
    </w:p>
    <w:p w:rsidR="00261842" w:rsidRPr="001E4CDF" w:rsidRDefault="00261842">
      <w:pPr>
        <w:spacing w:line="260" w:lineRule="auto"/>
        <w:rPr>
          <w:b/>
          <w:szCs w:val="24"/>
          <w:lang w:val="sr-Latn-RS"/>
        </w:rPr>
      </w:pPr>
      <w:r w:rsidRPr="001E4CDF">
        <w:rPr>
          <w:b/>
          <w:szCs w:val="24"/>
          <w:lang w:val="sr-Latn-RS"/>
        </w:rPr>
        <w:t xml:space="preserve">PU 25. Kvalitet i </w:t>
      </w:r>
      <w:proofErr w:type="spellStart"/>
      <w:r w:rsidRPr="001E4CDF">
        <w:rPr>
          <w:b/>
          <w:szCs w:val="24"/>
          <w:lang w:val="sr-Latn-RS"/>
        </w:rPr>
        <w:t>blagovremenost</w:t>
      </w:r>
      <w:proofErr w:type="spellEnd"/>
      <w:r w:rsidRPr="001E4CDF">
        <w:rPr>
          <w:b/>
          <w:szCs w:val="24"/>
          <w:lang w:val="sr-Latn-RS"/>
        </w:rPr>
        <w:t xml:space="preserve"> godišnjih finansijskih izveštaja</w:t>
      </w:r>
    </w:p>
    <w:p w:rsidR="00261842" w:rsidRPr="001E4CDF" w:rsidRDefault="00261842">
      <w:pPr>
        <w:rPr>
          <w:szCs w:val="24"/>
          <w:lang w:val="sr-Latn-RS"/>
        </w:rPr>
      </w:pPr>
    </w:p>
    <w:tbl>
      <w:tblPr>
        <w:tblW w:w="4904" w:type="pct"/>
        <w:tblLayout w:type="fixed"/>
        <w:tblLook w:val="0000" w:firstRow="0" w:lastRow="0" w:firstColumn="0" w:lastColumn="0" w:noHBand="0" w:noVBand="0"/>
      </w:tblPr>
      <w:tblGrid>
        <w:gridCol w:w="16"/>
        <w:gridCol w:w="2892"/>
        <w:gridCol w:w="1134"/>
        <w:gridCol w:w="5000"/>
      </w:tblGrid>
      <w:tr w:rsidR="00261842" w:rsidRPr="00025057">
        <w:trPr>
          <w:gridBefore w:val="1"/>
          <w:wBefore w:w="9" w:type="pct"/>
          <w:trHeight w:val="293"/>
        </w:trPr>
        <w:tc>
          <w:tcPr>
            <w:tcW w:w="1594" w:type="pct"/>
            <w:tcBorders>
              <w:top w:val="single" w:sz="4" w:space="0" w:color="auto"/>
              <w:left w:val="single" w:sz="4" w:space="0" w:color="auto"/>
              <w:bottom w:val="single" w:sz="4" w:space="0" w:color="auto"/>
              <w:right w:val="single" w:sz="4" w:space="0" w:color="auto"/>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both"/>
              <w:textAlignment w:val="baseline"/>
              <w:rPr>
                <w:rFonts w:ascii="Arial" w:hAnsi="Arial"/>
                <w:color w:val="000000"/>
                <w:sz w:val="20"/>
                <w:szCs w:val="24"/>
                <w:lang w:val="sr-Latn-RS"/>
              </w:rPr>
            </w:pPr>
          </w:p>
        </w:tc>
        <w:tc>
          <w:tcPr>
            <w:tcW w:w="3397" w:type="pct"/>
            <w:gridSpan w:val="2"/>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1608" w:type="pct"/>
            <w:gridSpan w:val="2"/>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rPr>
                <w:sz w:val="20"/>
                <w:szCs w:val="24"/>
                <w:lang w:val="sr-Latn-RS"/>
              </w:rPr>
            </w:pPr>
          </w:p>
        </w:tc>
        <w:tc>
          <w:tcPr>
            <w:tcW w:w="627"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rPr>
                <w:sz w:val="20"/>
                <w:szCs w:val="24"/>
                <w:lang w:val="sr-Latn-RS"/>
              </w:rPr>
            </w:pPr>
            <w:r w:rsidRPr="00C03E15">
              <w:rPr>
                <w:sz w:val="20"/>
                <w:szCs w:val="24"/>
                <w:lang w:val="sr-Latn-RS"/>
              </w:rPr>
              <w:t>2014</w:t>
            </w:r>
          </w:p>
        </w:tc>
        <w:tc>
          <w:tcPr>
            <w:tcW w:w="2765"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60" w:lineRule="auto"/>
              <w:jc w:val="center"/>
              <w:rPr>
                <w:szCs w:val="24"/>
                <w:lang w:val="sr-Latn-RS"/>
              </w:rPr>
            </w:pPr>
            <w:r w:rsidRPr="00C03E15">
              <w:rPr>
                <w:sz w:val="20"/>
                <w:szCs w:val="24"/>
                <w:lang w:val="sr-Latn-RS"/>
              </w:rPr>
              <w:t>Objašnjenje</w:t>
            </w:r>
          </w:p>
        </w:tc>
      </w:tr>
      <w:tr w:rsidR="00261842" w:rsidRPr="00C03E15">
        <w:trPr>
          <w:trHeight w:val="252"/>
        </w:trPr>
        <w:tc>
          <w:tcPr>
            <w:tcW w:w="1608" w:type="pct"/>
            <w:gridSpan w:val="2"/>
            <w:tcBorders>
              <w:top w:val="single" w:sz="4" w:space="0" w:color="auto"/>
              <w:left w:val="single" w:sz="8" w:space="0" w:color="000000"/>
              <w:bottom w:val="single" w:sz="4" w:space="0" w:color="auto"/>
            </w:tcBorders>
          </w:tcPr>
          <w:p w:rsidR="00261842" w:rsidRPr="00C03E15" w:rsidRDefault="00261842">
            <w:pPr>
              <w:spacing w:line="260" w:lineRule="auto"/>
              <w:rPr>
                <w:szCs w:val="24"/>
                <w:lang w:val="sr-Latn-RS"/>
              </w:rPr>
            </w:pPr>
            <w:r w:rsidRPr="00C03E15">
              <w:rPr>
                <w:b/>
                <w:sz w:val="20"/>
                <w:szCs w:val="24"/>
                <w:lang w:val="sr-Latn-RS"/>
              </w:rPr>
              <w:t xml:space="preserve">PU 25. Kvalitet i </w:t>
            </w:r>
            <w:proofErr w:type="spellStart"/>
            <w:r w:rsidRPr="00C03E15">
              <w:rPr>
                <w:b/>
                <w:sz w:val="20"/>
                <w:szCs w:val="24"/>
                <w:lang w:val="sr-Latn-RS"/>
              </w:rPr>
              <w:t>blagovremenost</w:t>
            </w:r>
            <w:proofErr w:type="spellEnd"/>
            <w:r w:rsidRPr="00C03E15">
              <w:rPr>
                <w:b/>
                <w:sz w:val="20"/>
                <w:szCs w:val="24"/>
                <w:lang w:val="sr-Latn-RS"/>
              </w:rPr>
              <w:t xml:space="preserve"> godišnjih finansijskih izveštaja </w:t>
            </w:r>
          </w:p>
        </w:tc>
        <w:tc>
          <w:tcPr>
            <w:tcW w:w="627" w:type="pct"/>
            <w:tcBorders>
              <w:top w:val="single" w:sz="4" w:space="0" w:color="auto"/>
              <w:left w:val="single" w:sz="8" w:space="0" w:color="000000"/>
              <w:bottom w:val="single" w:sz="8" w:space="0" w:color="000000"/>
              <w:right w:val="single" w:sz="8" w:space="0" w:color="000000"/>
            </w:tcBorders>
          </w:tcPr>
          <w:p w:rsidR="00261842" w:rsidRPr="00C03E15" w:rsidRDefault="00AA028E">
            <w:pPr>
              <w:spacing w:line="260" w:lineRule="auto"/>
              <w:jc w:val="center"/>
              <w:rPr>
                <w:szCs w:val="24"/>
                <w:lang w:val="sr-Latn-RS"/>
              </w:rPr>
            </w:pPr>
            <w:r w:rsidRPr="00C03E15">
              <w:rPr>
                <w:b/>
                <w:sz w:val="20"/>
                <w:szCs w:val="24"/>
                <w:lang w:val="sr-Latn-RS"/>
              </w:rPr>
              <w:t>Ocena A</w:t>
            </w:r>
          </w:p>
        </w:tc>
        <w:tc>
          <w:tcPr>
            <w:tcW w:w="2765" w:type="pct"/>
            <w:tcBorders>
              <w:top w:val="single" w:sz="4" w:space="0" w:color="auto"/>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025057">
        <w:trPr>
          <w:trHeight w:val="252"/>
        </w:trPr>
        <w:tc>
          <w:tcPr>
            <w:tcW w:w="1608" w:type="pct"/>
            <w:gridSpan w:val="2"/>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(i) Potpunost finansijskih izveštaja</w:t>
            </w:r>
          </w:p>
        </w:tc>
        <w:tc>
          <w:tcPr>
            <w:tcW w:w="627"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2765"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40" w:lineRule="auto"/>
              <w:jc w:val="both"/>
              <w:rPr>
                <w:szCs w:val="24"/>
                <w:lang w:val="sr-Latn-RS"/>
              </w:rPr>
            </w:pPr>
            <w:r w:rsidRPr="00C03E15">
              <w:rPr>
                <w:sz w:val="20"/>
                <w:szCs w:val="24"/>
                <w:lang w:val="sr-Latn-RS"/>
              </w:rPr>
              <w:t xml:space="preserve">Konsolidovani izveštaj lokalne samouprave izrađuje se na godišnjoj osnovi i sadrži potpune informacije o prihodima, rashodima i finansijskim sredstvima/obavezama. </w:t>
            </w:r>
          </w:p>
        </w:tc>
      </w:tr>
      <w:tr w:rsidR="00261842" w:rsidRPr="00025057">
        <w:trPr>
          <w:trHeight w:val="252"/>
        </w:trPr>
        <w:tc>
          <w:tcPr>
            <w:tcW w:w="1608" w:type="pct"/>
            <w:gridSpan w:val="2"/>
            <w:tcBorders>
              <w:top w:val="single" w:sz="4" w:space="0" w:color="auto"/>
              <w:left w:val="single" w:sz="4" w:space="0" w:color="auto"/>
              <w:bottom w:val="single" w:sz="4" w:space="0" w:color="auto"/>
              <w:right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Blagovremeno dostavljanje finansijskih izveštaja</w:t>
            </w:r>
          </w:p>
        </w:tc>
        <w:tc>
          <w:tcPr>
            <w:tcW w:w="627"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A</w:t>
            </w:r>
          </w:p>
        </w:tc>
        <w:tc>
          <w:tcPr>
            <w:tcW w:w="2765" w:type="pct"/>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jc w:val="both"/>
              <w:textAlignment w:val="baseline"/>
              <w:rPr>
                <w:szCs w:val="24"/>
                <w:lang w:val="sr-Latn-RS"/>
              </w:rPr>
            </w:pPr>
            <w:r w:rsidRPr="00C03E15">
              <w:rPr>
                <w:color w:val="000000"/>
                <w:sz w:val="20"/>
                <w:szCs w:val="24"/>
                <w:lang w:val="sr-Latn-RS"/>
              </w:rPr>
              <w:t>Izveštaj se dostavlja za potrebe eksterne revizije u roku od 6 meseci po isteku budžetske godine</w:t>
            </w:r>
          </w:p>
        </w:tc>
      </w:tr>
      <w:tr w:rsidR="00261842" w:rsidRPr="00025057">
        <w:trPr>
          <w:trHeight w:val="252"/>
        </w:trPr>
        <w:tc>
          <w:tcPr>
            <w:tcW w:w="1608" w:type="pct"/>
            <w:gridSpan w:val="2"/>
            <w:tcBorders>
              <w:top w:val="single" w:sz="4" w:space="0" w:color="auto"/>
              <w:left w:val="single" w:sz="4" w:space="0" w:color="auto"/>
              <w:bottom w:val="single" w:sz="4" w:space="0" w:color="auto"/>
              <w:right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lastRenderedPageBreak/>
              <w:t>(</w:t>
            </w:r>
            <w:proofErr w:type="spellStart"/>
            <w:r w:rsidRPr="00C03E15">
              <w:rPr>
                <w:sz w:val="20"/>
                <w:szCs w:val="24"/>
                <w:lang w:val="sr-Latn-RS"/>
              </w:rPr>
              <w:t>iii</w:t>
            </w:r>
            <w:proofErr w:type="spellEnd"/>
            <w:r w:rsidRPr="00C03E15">
              <w:rPr>
                <w:sz w:val="20"/>
                <w:szCs w:val="24"/>
                <w:lang w:val="sr-Latn-RS"/>
              </w:rPr>
              <w:t>) Korišćeni računovodstveni standardi</w:t>
            </w:r>
          </w:p>
        </w:tc>
        <w:tc>
          <w:tcPr>
            <w:tcW w:w="627"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 xml:space="preserve">A </w:t>
            </w:r>
          </w:p>
        </w:tc>
        <w:tc>
          <w:tcPr>
            <w:tcW w:w="2765"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rPr>
                <w:szCs w:val="24"/>
                <w:lang w:val="sr-Latn-RS"/>
              </w:rPr>
            </w:pPr>
            <w:r w:rsidRPr="00C03E15">
              <w:rPr>
                <w:color w:val="000000"/>
                <w:sz w:val="20"/>
                <w:szCs w:val="24"/>
                <w:lang w:val="sr-Latn-RS"/>
              </w:rPr>
              <w:t>Za sve izveštaje primenjuju se IPSAS standardi ili odgovarajući nacionalni standardi.</w:t>
            </w:r>
          </w:p>
        </w:tc>
      </w:tr>
    </w:tbl>
    <w:p w:rsidR="00261842" w:rsidRPr="001E4CDF" w:rsidRDefault="00261842">
      <w:pPr>
        <w:pStyle w:val="ParagraphNumbering"/>
        <w:numPr>
          <w:ilvl w:val="0"/>
          <w:numId w:val="0"/>
        </w:numPr>
        <w:rPr>
          <w:b/>
          <w:lang w:val="sr-Latn-RS"/>
        </w:rPr>
      </w:pP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(i) Potpunost finansijskih izveštaja.</w:t>
      </w:r>
    </w:p>
    <w:p w:rsidR="00261842" w:rsidRPr="001E4CDF" w:rsidRDefault="00261842">
      <w:pPr>
        <w:pStyle w:val="ParagraphNumbering"/>
        <w:numPr>
          <w:ilvl w:val="0"/>
          <w:numId w:val="0"/>
        </w:numPr>
        <w:spacing w:line="260" w:lineRule="auto"/>
        <w:jc w:val="both"/>
        <w:rPr>
          <w:lang w:val="sr-Latn-RS"/>
        </w:rPr>
      </w:pPr>
      <w:r w:rsidRPr="001E4CDF">
        <w:rPr>
          <w:lang w:val="sr-Latn-RS"/>
        </w:rPr>
        <w:t xml:space="preserve">Godišnji finansijski izveštaj obuhvata sve prihode Opštine i rashode direktnih i indirektnih korisnika, kao i troškove Direkcije u jedinstvenom konsolidovanom bilansu uspeha.   Finansijska sredstva i obaveze se navode u Bilansu stanja. </w:t>
      </w:r>
    </w:p>
    <w:p w:rsidR="00261842" w:rsidRPr="001E4CDF" w:rsidRDefault="00261842">
      <w:pPr>
        <w:pStyle w:val="ParagraphNumbering"/>
        <w:numPr>
          <w:ilvl w:val="0"/>
          <w:numId w:val="0"/>
        </w:numPr>
        <w:spacing w:line="260" w:lineRule="auto"/>
        <w:jc w:val="both"/>
        <w:rPr>
          <w:lang w:val="sr-Latn-RS"/>
        </w:rPr>
      </w:pPr>
      <w:r w:rsidRPr="00AA028E">
        <w:rPr>
          <w:lang w:val="sr-Latn-RS"/>
        </w:rPr>
        <w:t>Finansijsko izveštavanje je detaljno regulisano Pravilnikom o načinu pripreme, sastavljanja i podnošenja finansijskih izveštaja korisnika budžetskih sredstava i korisnika sredstava obaveznog socijalnog osiguranja:</w:t>
      </w:r>
      <w:r w:rsidRPr="00AA028E">
        <w:rPr>
          <w:rStyle w:val="FootnoteReference"/>
          <w:lang w:val="sr-Latn-RS"/>
        </w:rPr>
        <w:footnoteReference w:id="16"/>
      </w:r>
      <w:r w:rsidRPr="00AA028E">
        <w:rPr>
          <w:lang w:val="sr-Latn-RS"/>
        </w:rPr>
        <w:t>Finansijski izveštaji su: Završni račun, godišnji finansijski izveštaj, periodični i konsolidovani izveštaj. Završni račun se dostavlja na obrascima: Obrazac 1 – Bilans stanja, Obrazac 2 – Bilans prihoda i rashoda,</w:t>
      </w:r>
      <w:r w:rsidRPr="001E4CDF">
        <w:rPr>
          <w:lang w:val="sr-Latn-RS"/>
        </w:rPr>
        <w:t xml:space="preserve"> Obrazac 3 – Izveštaj o kapitalnim izdacima i primanjima, Obrazac 4 – Izveštaj o novčanim tokovima i Obrazac 5 – Izveštaj o izvršenju budžeta.  Preciznost i </w:t>
      </w:r>
      <w:proofErr w:type="spellStart"/>
      <w:r w:rsidRPr="001E4CDF">
        <w:rPr>
          <w:lang w:val="sr-Latn-RS"/>
        </w:rPr>
        <w:t>sveobuhvatnost</w:t>
      </w:r>
      <w:proofErr w:type="spellEnd"/>
      <w:r w:rsidRPr="001E4CDF">
        <w:rPr>
          <w:lang w:val="sr-Latn-RS"/>
        </w:rPr>
        <w:t xml:space="preserve"> podataka u izveštajima se obezbeđuje sravnjivanjem sa konsolidovanim računom trezora u Upravi za trezor i automatizovanom i logičkom kontrolom u okviru Uprave za trezor.</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Blagovremeno dostavljanje finansijskih izveštaja</w:t>
      </w:r>
    </w:p>
    <w:p w:rsidR="00261842" w:rsidRPr="00AA028E" w:rsidRDefault="00261842">
      <w:pPr>
        <w:tabs>
          <w:tab w:val="num" w:pos="720"/>
          <w:tab w:val="num" w:pos="1146"/>
        </w:tabs>
        <w:spacing w:after="120" w:line="260" w:lineRule="auto"/>
        <w:jc w:val="both"/>
        <w:rPr>
          <w:szCs w:val="24"/>
          <w:lang w:val="sr-Latn-RS"/>
        </w:rPr>
      </w:pPr>
      <w:r w:rsidRPr="00AA028E">
        <w:rPr>
          <w:szCs w:val="24"/>
          <w:lang w:val="sr-Latn-RS"/>
        </w:rPr>
        <w:t>U skladu sa Zakonom o budžetskom sistemu, finansijski izveštaji za opštinski nivo treba da se podnesu Veću do 15. maja.  Finansijski izveštaji se završavaju do kraja maja u toku dve prethodne godine.  Podnose se Opštinskom veću na usvajanje a potom Skupštini.  Izveštaji su usvojeni na sednicama Opštinskog veća: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6"/>
        <w:gridCol w:w="2997"/>
        <w:gridCol w:w="2997"/>
      </w:tblGrid>
      <w:tr w:rsidR="00261842" w:rsidRPr="00C03E15" w:rsidTr="00C03E15">
        <w:trPr>
          <w:jc w:val="center"/>
        </w:trPr>
        <w:tc>
          <w:tcPr>
            <w:tcW w:w="2996" w:type="dxa"/>
            <w:vAlign w:val="center"/>
          </w:tcPr>
          <w:p w:rsidR="00261842" w:rsidRPr="00C03E15" w:rsidRDefault="00261842" w:rsidP="00C03E15">
            <w:pPr>
              <w:tabs>
                <w:tab w:val="num" w:pos="720"/>
                <w:tab w:val="num" w:pos="1146"/>
              </w:tabs>
              <w:spacing w:after="120" w:line="260" w:lineRule="auto"/>
              <w:jc w:val="center"/>
              <w:rPr>
                <w:szCs w:val="24"/>
                <w:lang w:val="sr-Latn-RS"/>
              </w:rPr>
            </w:pPr>
            <w:r w:rsidRPr="00C03E15">
              <w:rPr>
                <w:szCs w:val="24"/>
                <w:lang w:val="sr-Latn-RS"/>
              </w:rPr>
              <w:t>Izveštaj 2011</w:t>
            </w:r>
          </w:p>
        </w:tc>
        <w:tc>
          <w:tcPr>
            <w:tcW w:w="2997" w:type="dxa"/>
            <w:vAlign w:val="center"/>
          </w:tcPr>
          <w:p w:rsidR="00261842" w:rsidRPr="00C03E15" w:rsidRDefault="00261842" w:rsidP="00C03E15">
            <w:pPr>
              <w:tabs>
                <w:tab w:val="num" w:pos="720"/>
                <w:tab w:val="num" w:pos="1146"/>
              </w:tabs>
              <w:spacing w:after="120" w:line="260" w:lineRule="auto"/>
              <w:jc w:val="center"/>
              <w:rPr>
                <w:szCs w:val="24"/>
                <w:lang w:val="sr-Latn-RS"/>
              </w:rPr>
            </w:pPr>
            <w:r w:rsidRPr="00C03E15">
              <w:rPr>
                <w:szCs w:val="24"/>
                <w:lang w:val="sr-Latn-RS"/>
              </w:rPr>
              <w:t>Izveštaj 2102</w:t>
            </w:r>
          </w:p>
        </w:tc>
        <w:tc>
          <w:tcPr>
            <w:tcW w:w="2997" w:type="dxa"/>
            <w:vAlign w:val="center"/>
          </w:tcPr>
          <w:p w:rsidR="00261842" w:rsidRPr="00C03E15" w:rsidRDefault="00261842" w:rsidP="00C03E15">
            <w:pPr>
              <w:tabs>
                <w:tab w:val="num" w:pos="720"/>
                <w:tab w:val="num" w:pos="1146"/>
              </w:tabs>
              <w:spacing w:after="120" w:line="260" w:lineRule="auto"/>
              <w:jc w:val="center"/>
              <w:rPr>
                <w:szCs w:val="24"/>
                <w:lang w:val="sr-Latn-RS"/>
              </w:rPr>
            </w:pPr>
            <w:r w:rsidRPr="00C03E15">
              <w:rPr>
                <w:szCs w:val="24"/>
                <w:lang w:val="sr-Latn-RS"/>
              </w:rPr>
              <w:t>Izveštaj 2013</w:t>
            </w:r>
          </w:p>
        </w:tc>
      </w:tr>
      <w:tr w:rsidR="00261842" w:rsidRPr="00C03E15" w:rsidTr="00C03E15">
        <w:trPr>
          <w:jc w:val="center"/>
        </w:trPr>
        <w:tc>
          <w:tcPr>
            <w:tcW w:w="2996" w:type="dxa"/>
            <w:vAlign w:val="center"/>
          </w:tcPr>
          <w:p w:rsidR="00261842" w:rsidRPr="00C03E15" w:rsidRDefault="00261842" w:rsidP="00C03E15">
            <w:pPr>
              <w:tabs>
                <w:tab w:val="num" w:pos="720"/>
                <w:tab w:val="num" w:pos="1146"/>
              </w:tabs>
              <w:spacing w:after="120" w:line="260" w:lineRule="auto"/>
              <w:jc w:val="center"/>
              <w:rPr>
                <w:szCs w:val="24"/>
                <w:lang w:val="sr-Latn-RS"/>
              </w:rPr>
            </w:pPr>
            <w:r w:rsidRPr="00C03E15">
              <w:rPr>
                <w:szCs w:val="24"/>
                <w:lang w:val="sr-Latn-RS"/>
              </w:rPr>
              <w:t>18. juna 2012.</w:t>
            </w:r>
          </w:p>
        </w:tc>
        <w:tc>
          <w:tcPr>
            <w:tcW w:w="2997" w:type="dxa"/>
            <w:vAlign w:val="center"/>
          </w:tcPr>
          <w:p w:rsidR="00261842" w:rsidRPr="00C03E15" w:rsidRDefault="00261842" w:rsidP="00C03E15">
            <w:pPr>
              <w:tabs>
                <w:tab w:val="num" w:pos="720"/>
                <w:tab w:val="num" w:pos="1146"/>
              </w:tabs>
              <w:spacing w:after="120" w:line="260" w:lineRule="auto"/>
              <w:jc w:val="center"/>
              <w:rPr>
                <w:szCs w:val="24"/>
                <w:lang w:val="sr-Latn-RS"/>
              </w:rPr>
            </w:pPr>
            <w:r w:rsidRPr="00C03E15">
              <w:rPr>
                <w:szCs w:val="24"/>
                <w:lang w:val="sr-Latn-RS"/>
              </w:rPr>
              <w:t>15. maja 2013.</w:t>
            </w:r>
          </w:p>
        </w:tc>
        <w:tc>
          <w:tcPr>
            <w:tcW w:w="2997" w:type="dxa"/>
            <w:vAlign w:val="center"/>
          </w:tcPr>
          <w:p w:rsidR="00261842" w:rsidRPr="00C03E15" w:rsidRDefault="00261842" w:rsidP="00C03E15">
            <w:pPr>
              <w:tabs>
                <w:tab w:val="num" w:pos="720"/>
                <w:tab w:val="num" w:pos="1146"/>
              </w:tabs>
              <w:spacing w:after="120" w:line="260" w:lineRule="auto"/>
              <w:jc w:val="center"/>
              <w:rPr>
                <w:szCs w:val="24"/>
                <w:lang w:val="sr-Latn-RS"/>
              </w:rPr>
            </w:pPr>
            <w:r w:rsidRPr="00C03E15">
              <w:rPr>
                <w:szCs w:val="24"/>
                <w:lang w:val="sr-Latn-RS"/>
              </w:rPr>
              <w:t>23. maja 2014.</w:t>
            </w:r>
          </w:p>
        </w:tc>
      </w:tr>
    </w:tbl>
    <w:p w:rsidR="00261842" w:rsidRPr="00AA028E" w:rsidRDefault="00261842" w:rsidP="00AA028E">
      <w:pPr>
        <w:jc w:val="both"/>
        <w:rPr>
          <w:szCs w:val="24"/>
          <w:lang w:val="sr-Latn-RS"/>
        </w:rPr>
      </w:pPr>
      <w:r w:rsidRPr="00AA028E">
        <w:rPr>
          <w:szCs w:val="24"/>
          <w:lang w:val="sr-Latn-RS"/>
        </w:rPr>
        <w:t xml:space="preserve"> </w:t>
      </w:r>
    </w:p>
    <w:p w:rsidR="00261842" w:rsidRPr="00AA028E" w:rsidRDefault="00261842" w:rsidP="00AA028E">
      <w:pPr>
        <w:tabs>
          <w:tab w:val="num" w:pos="720"/>
          <w:tab w:val="num" w:pos="1146"/>
        </w:tabs>
        <w:spacing w:after="120" w:line="260" w:lineRule="auto"/>
        <w:jc w:val="both"/>
        <w:rPr>
          <w:szCs w:val="24"/>
          <w:lang w:val="sr-Latn-RS"/>
        </w:rPr>
      </w:pPr>
      <w:r w:rsidRPr="00AA028E">
        <w:rPr>
          <w:szCs w:val="24"/>
          <w:lang w:val="sr-Latn-RS"/>
        </w:rPr>
        <w:t xml:space="preserve">Kako nema revizorskog izveštaja, finansijski izveštaji se prosleđuju Skupštini.   </w:t>
      </w:r>
    </w:p>
    <w:p w:rsidR="00261842" w:rsidRPr="00AA028E" w:rsidRDefault="00261842" w:rsidP="00AA028E">
      <w:pPr>
        <w:tabs>
          <w:tab w:val="num" w:pos="720"/>
          <w:tab w:val="num" w:pos="1146"/>
        </w:tabs>
        <w:spacing w:after="120" w:line="260" w:lineRule="auto"/>
        <w:jc w:val="both"/>
        <w:rPr>
          <w:szCs w:val="24"/>
          <w:lang w:val="sr-Latn-RS"/>
        </w:rPr>
      </w:pPr>
      <w:r w:rsidRPr="00AA028E">
        <w:rPr>
          <w:szCs w:val="24"/>
          <w:lang w:val="sr-Latn-RS"/>
        </w:rPr>
        <w:t>Iako su i 2013 izveštaji kasnili 8 dana, ipak su bili završeni u roku od 6 meseci od isteka fiskalne godine pa ova dimenzija ima ocenu A</w:t>
      </w:r>
    </w:p>
    <w:p w:rsidR="00261842" w:rsidRPr="001E4CDF" w:rsidRDefault="00261842">
      <w:pPr>
        <w:tabs>
          <w:tab w:val="num" w:pos="720"/>
          <w:tab w:val="num" w:pos="1146"/>
        </w:tabs>
        <w:spacing w:after="120" w:line="260" w:lineRule="auto"/>
        <w:jc w:val="both"/>
        <w:rPr>
          <w:b/>
          <w:szCs w:val="24"/>
          <w:lang w:val="sr-Latn-RS"/>
        </w:rPr>
      </w:pPr>
      <w:r w:rsidRPr="001E4CDF">
        <w:rPr>
          <w:b/>
          <w:szCs w:val="24"/>
          <w:lang w:val="sr-Latn-RS"/>
        </w:rPr>
        <w:lastRenderedPageBreak/>
        <w:t xml:space="preserve"> (</w:t>
      </w:r>
      <w:proofErr w:type="spellStart"/>
      <w:r w:rsidRPr="001E4CDF">
        <w:rPr>
          <w:b/>
          <w:szCs w:val="24"/>
          <w:lang w:val="sr-Latn-RS"/>
        </w:rPr>
        <w:t>iii</w:t>
      </w:r>
      <w:proofErr w:type="spellEnd"/>
      <w:r w:rsidRPr="001E4CDF">
        <w:rPr>
          <w:b/>
          <w:szCs w:val="24"/>
          <w:lang w:val="sr-Latn-RS"/>
        </w:rPr>
        <w:t>) Korišćeni računovodstveni standardi</w:t>
      </w:r>
    </w:p>
    <w:p w:rsidR="00261842" w:rsidRPr="00263163" w:rsidRDefault="00261842">
      <w:pPr>
        <w:pStyle w:val="ParagraphNumbering"/>
        <w:numPr>
          <w:ilvl w:val="0"/>
          <w:numId w:val="0"/>
        </w:numPr>
        <w:spacing w:line="240" w:lineRule="auto"/>
        <w:rPr>
          <w:lang w:val="sr-Latn-RS"/>
        </w:rPr>
      </w:pPr>
      <w:r w:rsidRPr="00263163">
        <w:rPr>
          <w:lang w:val="sr-Latn-RS"/>
        </w:rPr>
        <w:t xml:space="preserve">Finansijski izveštaji u javnom sektoru u Srbiji se pripremaju na gotovinskoj osnovi u skladu sa </w:t>
      </w:r>
      <w:r w:rsidRPr="00263163">
        <w:rPr>
          <w:rStyle w:val="gt-icon-text1"/>
          <w:lang w:val="sr-Latn-RS"/>
        </w:rPr>
        <w:t>međunarodnim računovodstvenim standardima javnog sektora (</w:t>
      </w:r>
      <w:r w:rsidRPr="00263163">
        <w:rPr>
          <w:lang w:val="sr-Latn-RS"/>
        </w:rPr>
        <w:t xml:space="preserve">IPSAS), pa se oni koriste i u ovoj opštini. </w:t>
      </w:r>
      <w:r w:rsidRPr="001E4CDF">
        <w:rPr>
          <w:b/>
          <w:i/>
          <w:lang w:val="sr-Latn-RS"/>
        </w:rPr>
        <w:t xml:space="preserve"> </w:t>
      </w:r>
      <w:r w:rsidRPr="00263163">
        <w:rPr>
          <w:lang w:val="sr-Latn-RS"/>
        </w:rPr>
        <w:t>Uredba o budžetskom računovodstvu propisuje gotovinsku osnovu računovodstva u skladu sa IPSAS standardima za priznavanje prihoda i rashoda.</w:t>
      </w:r>
      <w:r w:rsidRPr="001E4CDF">
        <w:rPr>
          <w:b/>
          <w:lang w:val="sr-Latn-RS"/>
        </w:rPr>
        <w:t xml:space="preserve"> </w:t>
      </w:r>
      <w:r w:rsidRPr="00263163">
        <w:rPr>
          <w:lang w:val="sr-Latn-RS"/>
        </w:rPr>
        <w:t xml:space="preserve">Finansijska sredstva i obaveze se priznaju na osnovu </w:t>
      </w:r>
      <w:r w:rsidR="00B04D0E" w:rsidRPr="00263163">
        <w:rPr>
          <w:lang w:val="sr-Latn-RS"/>
        </w:rPr>
        <w:t>istorijske</w:t>
      </w:r>
      <w:r w:rsidRPr="00263163">
        <w:rPr>
          <w:lang w:val="sr-Latn-RS"/>
        </w:rPr>
        <w:t xml:space="preserve"> ili nabavne vrednosti.</w:t>
      </w:r>
      <w:r w:rsidR="00263163">
        <w:rPr>
          <w:b/>
          <w:i/>
          <w:lang w:val="sr-Latn-RS"/>
        </w:rPr>
        <w:t xml:space="preserve"> </w:t>
      </w:r>
      <w:r w:rsidR="00263163" w:rsidRPr="00263163">
        <w:rPr>
          <w:lang w:val="sr-Latn-RS"/>
        </w:rPr>
        <w:t>Ocena A</w:t>
      </w:r>
    </w:p>
    <w:p w:rsidR="00261842" w:rsidRPr="00404A99" w:rsidRDefault="00261842">
      <w:pPr>
        <w:pStyle w:val="Heading2"/>
        <w:spacing w:line="260" w:lineRule="auto"/>
        <w:rPr>
          <w:rFonts w:cs="Times New Roman"/>
          <w:bCs w:val="0"/>
          <w:iCs w:val="0"/>
          <w:szCs w:val="24"/>
          <w:lang w:val="sr-Latn-RS"/>
        </w:rPr>
      </w:pPr>
      <w:bookmarkStart w:id="16" w:name="_Toc421138250"/>
      <w:r w:rsidRPr="00404A99">
        <w:rPr>
          <w:rFonts w:cs="Times New Roman"/>
          <w:bCs w:val="0"/>
          <w:iCs w:val="0"/>
          <w:szCs w:val="24"/>
          <w:lang w:val="sr-Latn-RS"/>
        </w:rPr>
        <w:t>Eksterni nadzor i revizija</w:t>
      </w:r>
      <w:bookmarkEnd w:id="16"/>
    </w:p>
    <w:p w:rsidR="00261842" w:rsidRPr="001E4CDF" w:rsidRDefault="00261842">
      <w:pPr>
        <w:spacing w:line="260" w:lineRule="auto"/>
        <w:rPr>
          <w:b/>
          <w:szCs w:val="24"/>
          <w:lang w:val="sr-Latn-RS"/>
        </w:rPr>
      </w:pPr>
      <w:r w:rsidRPr="001E4CDF">
        <w:rPr>
          <w:b/>
          <w:szCs w:val="24"/>
          <w:lang w:val="sr-Latn-RS"/>
        </w:rPr>
        <w:t>PU-26: Obim i priroda revizije i preduzimanje mera u skladu sa preporukama</w:t>
      </w:r>
    </w:p>
    <w:tbl>
      <w:tblPr>
        <w:tblpPr w:leftFromText="180" w:rightFromText="180" w:vertAnchor="text" w:horzAnchor="page" w:tblpX="1882" w:tblpY="242"/>
        <w:tblW w:w="8936" w:type="dxa"/>
        <w:tblLayout w:type="fixed"/>
        <w:tblCellMar>
          <w:left w:w="0" w:type="dxa"/>
          <w:right w:w="0" w:type="dxa"/>
        </w:tblCellMar>
        <w:tblLook w:val="04A0" w:firstRow="1" w:lastRow="0" w:firstColumn="1" w:lastColumn="0" w:noHBand="0" w:noVBand="1"/>
      </w:tblPr>
      <w:tblGrid>
        <w:gridCol w:w="2840"/>
        <w:gridCol w:w="1134"/>
        <w:gridCol w:w="4962"/>
      </w:tblGrid>
      <w:tr w:rsidR="00261842" w:rsidRPr="00025057">
        <w:trPr>
          <w:trHeight w:val="252"/>
        </w:trPr>
        <w:tc>
          <w:tcPr>
            <w:tcW w:w="2840" w:type="dxa"/>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40" w:lineRule="auto"/>
              <w:rPr>
                <w:color w:val="000000"/>
                <w:sz w:val="20"/>
                <w:szCs w:val="24"/>
                <w:lang w:val="sr-Latn-RS"/>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2840" w:type="dxa"/>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40" w:lineRule="auto"/>
              <w:jc w:val="center"/>
              <w:rPr>
                <w:color w:val="000000"/>
                <w:sz w:val="20"/>
                <w:szCs w:val="24"/>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jc w:val="center"/>
              <w:rPr>
                <w:sz w:val="20"/>
                <w:szCs w:val="24"/>
                <w:lang w:val="sr-Latn-RS"/>
              </w:rPr>
            </w:pPr>
            <w:r w:rsidRPr="00C03E15">
              <w:rPr>
                <w:color w:val="000000"/>
                <w:sz w:val="20"/>
                <w:szCs w:val="24"/>
                <w:lang w:val="sr-Latn-RS"/>
              </w:rPr>
              <w:t>2014</w:t>
            </w:r>
          </w:p>
        </w:tc>
        <w:tc>
          <w:tcPr>
            <w:tcW w:w="4962" w:type="dxa"/>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color w:val="000000"/>
                <w:sz w:val="20"/>
                <w:szCs w:val="24"/>
                <w:lang w:val="sr-Latn-RS"/>
              </w:rPr>
              <w:t>Objašnjenje</w:t>
            </w:r>
          </w:p>
        </w:tc>
      </w:tr>
      <w:tr w:rsidR="00261842" w:rsidRPr="00C03E15">
        <w:trPr>
          <w:trHeight w:val="252"/>
        </w:trPr>
        <w:tc>
          <w:tcPr>
            <w:tcW w:w="2840" w:type="dxa"/>
            <w:tcBorders>
              <w:top w:val="single" w:sz="4" w:space="0" w:color="auto"/>
              <w:left w:val="single" w:sz="4" w:space="0" w:color="auto"/>
              <w:right w:val="single" w:sz="4" w:space="0" w:color="auto"/>
            </w:tcBorders>
          </w:tcPr>
          <w:p w:rsidR="00261842" w:rsidRPr="00C03E15" w:rsidRDefault="00261842">
            <w:pPr>
              <w:spacing w:line="240" w:lineRule="auto"/>
              <w:rPr>
                <w:szCs w:val="24"/>
                <w:lang w:val="sr-Latn-RS"/>
              </w:rPr>
            </w:pPr>
            <w:r w:rsidRPr="00C03E15">
              <w:rPr>
                <w:b/>
                <w:sz w:val="20"/>
                <w:szCs w:val="24"/>
                <w:lang w:val="sr-Latn-RS"/>
              </w:rPr>
              <w:t>PU-26: Obim i priroda revizije i preduzimanje mera u skladu sa preporukama</w:t>
            </w:r>
          </w:p>
          <w:p w:rsidR="00261842" w:rsidRPr="00C03E15" w:rsidRDefault="00261842">
            <w:pPr>
              <w:spacing w:line="240" w:lineRule="auto"/>
              <w:rPr>
                <w:b/>
                <w:color w:val="000000"/>
                <w:sz w:val="20"/>
                <w:szCs w:val="24"/>
                <w:lang w:val="sr-Latn-RS"/>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b/>
                <w:color w:val="000000"/>
                <w:sz w:val="20"/>
                <w:szCs w:val="24"/>
                <w:lang w:val="sr-Latn-RS"/>
              </w:rPr>
              <w:t>Ocena D</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color w:val="000000"/>
                <w:sz w:val="20"/>
                <w:szCs w:val="24"/>
                <w:lang w:val="sr-Latn-RS"/>
              </w:rPr>
            </w:pPr>
          </w:p>
        </w:tc>
      </w:tr>
      <w:tr w:rsidR="00261842" w:rsidRPr="00C03E15">
        <w:trPr>
          <w:trHeight w:val="252"/>
        </w:trPr>
        <w:tc>
          <w:tcPr>
            <w:tcW w:w="2840"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b/>
                <w:sz w:val="20"/>
                <w:szCs w:val="24"/>
                <w:lang w:val="sr-Latn-RS"/>
              </w:rPr>
              <w:t>(i)</w:t>
            </w:r>
            <w:r w:rsidRPr="00C03E15">
              <w:rPr>
                <w:sz w:val="20"/>
                <w:szCs w:val="24"/>
                <w:lang w:val="sr-Latn-RS"/>
              </w:rPr>
              <w:t xml:space="preserve"> </w:t>
            </w:r>
            <w:r w:rsidRPr="00C03E15">
              <w:rPr>
                <w:i/>
                <w:sz w:val="20"/>
                <w:szCs w:val="24"/>
                <w:lang w:val="sr-Latn-RS"/>
              </w:rPr>
              <w:t xml:space="preserve"> Obim/vrsta izvršene revizije (uključujući pridržavanje revizorskih standarda)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sz w:val="20"/>
                <w:szCs w:val="24"/>
                <w:lang w:val="sr-Latn-RS"/>
              </w:rPr>
              <w:t>D</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37" w:lineRule="auto"/>
              <w:jc w:val="both"/>
              <w:rPr>
                <w:sz w:val="20"/>
                <w:szCs w:val="24"/>
                <w:lang w:val="sr-Latn-RS"/>
              </w:rPr>
            </w:pPr>
          </w:p>
        </w:tc>
      </w:tr>
      <w:tr w:rsidR="00261842" w:rsidRPr="00C03E15">
        <w:trPr>
          <w:trHeight w:val="252"/>
        </w:trPr>
        <w:tc>
          <w:tcPr>
            <w:tcW w:w="2840"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xml:space="preserve">)  </w:t>
            </w:r>
            <w:proofErr w:type="spellStart"/>
            <w:r w:rsidRPr="00C03E15">
              <w:rPr>
                <w:sz w:val="20"/>
                <w:szCs w:val="24"/>
                <w:lang w:val="sr-Latn-RS"/>
              </w:rPr>
              <w:t>Blagovremenost</w:t>
            </w:r>
            <w:proofErr w:type="spellEnd"/>
            <w:r w:rsidRPr="00C03E15">
              <w:rPr>
                <w:sz w:val="20"/>
                <w:szCs w:val="24"/>
                <w:lang w:val="sr-Latn-RS"/>
              </w:rPr>
              <w:t xml:space="preserve"> dostavljanja revizorskog izveštaja zakonodavnoj vlasti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sz w:val="20"/>
                <w:szCs w:val="24"/>
                <w:lang w:val="sr-Latn-RS"/>
              </w:rPr>
              <w:t>NP</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color w:val="000000"/>
                <w:sz w:val="20"/>
                <w:szCs w:val="24"/>
                <w:lang w:val="sr-Latn-RS"/>
              </w:rPr>
            </w:pPr>
          </w:p>
        </w:tc>
      </w:tr>
      <w:tr w:rsidR="00261842" w:rsidRPr="00C03E15">
        <w:trPr>
          <w:trHeight w:val="252"/>
        </w:trPr>
        <w:tc>
          <w:tcPr>
            <w:tcW w:w="2840"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b/>
                <w:sz w:val="20"/>
                <w:szCs w:val="24"/>
                <w:lang w:val="sr-Latn-RS"/>
              </w:rPr>
              <w:t>(</w:t>
            </w:r>
            <w:proofErr w:type="spellStart"/>
            <w:r w:rsidRPr="00C03E15">
              <w:rPr>
                <w:sz w:val="20"/>
                <w:szCs w:val="24"/>
                <w:lang w:val="sr-Latn-RS"/>
              </w:rPr>
              <w:t>iii</w:t>
            </w:r>
            <w:proofErr w:type="spellEnd"/>
            <w:r w:rsidRPr="00C03E15">
              <w:rPr>
                <w:b/>
                <w:sz w:val="20"/>
                <w:szCs w:val="24"/>
                <w:lang w:val="sr-Latn-RS"/>
              </w:rPr>
              <w:t xml:space="preserve">) </w:t>
            </w:r>
            <w:r w:rsidRPr="00C03E15">
              <w:rPr>
                <w:sz w:val="20"/>
                <w:szCs w:val="24"/>
                <w:lang w:val="sr-Latn-RS"/>
              </w:rPr>
              <w:t xml:space="preserve"> Dokazi o preduzimanju mera u skladu sa preporukama revizije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sz w:val="20"/>
                <w:szCs w:val="24"/>
                <w:lang w:val="sr-Latn-RS"/>
              </w:rPr>
              <w:t>NP</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color w:val="000000"/>
                <w:sz w:val="20"/>
                <w:szCs w:val="24"/>
                <w:lang w:val="sr-Latn-RS"/>
              </w:rPr>
            </w:pPr>
          </w:p>
        </w:tc>
      </w:tr>
    </w:tbl>
    <w:p w:rsidR="00261842" w:rsidRPr="001E4CDF" w:rsidRDefault="00261842">
      <w:pPr>
        <w:pStyle w:val="ParagraphNumbering"/>
        <w:numPr>
          <w:ilvl w:val="0"/>
          <w:numId w:val="0"/>
        </w:numPr>
        <w:rPr>
          <w:lang w:val="sr-Latn-RS"/>
        </w:rPr>
      </w:pPr>
    </w:p>
    <w:p w:rsidR="00261842" w:rsidRPr="001E4CDF" w:rsidRDefault="00261842">
      <w:pPr>
        <w:pStyle w:val="ParagraphNumbering"/>
        <w:numPr>
          <w:ilvl w:val="0"/>
          <w:numId w:val="0"/>
        </w:numPr>
        <w:spacing w:line="260" w:lineRule="auto"/>
        <w:rPr>
          <w:lang w:val="sr-Latn-RS"/>
        </w:rPr>
      </w:pPr>
      <w:r w:rsidRPr="001E4CDF">
        <w:rPr>
          <w:lang w:val="sr-Latn-RS"/>
        </w:rPr>
        <w:t>Ovaj indikator ocenjuje kvalitet funkcije eksterne revizije i stepen u kojem revizija identifikuje i promoviše izmene za rešavanje sistemskih problema.</w:t>
      </w:r>
    </w:p>
    <w:p w:rsidR="00261842" w:rsidRPr="001E4CDF" w:rsidRDefault="00261842">
      <w:pPr>
        <w:pStyle w:val="ParagraphNumbering"/>
        <w:numPr>
          <w:ilvl w:val="0"/>
          <w:numId w:val="0"/>
        </w:numPr>
        <w:tabs>
          <w:tab w:val="num" w:pos="1146"/>
        </w:tabs>
        <w:spacing w:line="260" w:lineRule="auto"/>
        <w:rPr>
          <w:b/>
          <w:lang w:val="sr-Latn-RS"/>
        </w:rPr>
      </w:pPr>
      <w:r w:rsidRPr="001E4CDF">
        <w:rPr>
          <w:b/>
          <w:lang w:val="sr-Latn-RS"/>
        </w:rPr>
        <w:t xml:space="preserve"> (i) </w:t>
      </w:r>
      <w:r w:rsidRPr="001E4CDF">
        <w:rPr>
          <w:b/>
          <w:i/>
          <w:lang w:val="sr-Latn-RS"/>
        </w:rPr>
        <w:t xml:space="preserve"> </w:t>
      </w:r>
      <w:r w:rsidRPr="00E16C95">
        <w:rPr>
          <w:b/>
          <w:lang w:val="sr-Latn-RS"/>
        </w:rPr>
        <w:t>Obim/vrsta izvršene revizije (uključujući pridržavanje revizorskih standarda)</w:t>
      </w:r>
    </w:p>
    <w:p w:rsidR="00261842" w:rsidRPr="001E4CDF" w:rsidRDefault="00261842">
      <w:pPr>
        <w:pStyle w:val="ParagraphNumbering"/>
        <w:numPr>
          <w:ilvl w:val="0"/>
          <w:numId w:val="0"/>
        </w:numPr>
        <w:spacing w:line="260" w:lineRule="auto"/>
        <w:rPr>
          <w:lang w:val="sr-Latn-RS"/>
        </w:rPr>
      </w:pPr>
      <w:r w:rsidRPr="001E4CDF">
        <w:rPr>
          <w:lang w:val="sr-Latn-RS"/>
        </w:rPr>
        <w:t>Revizija finansijskih izveštaja opštine nije nikada vršena.  Međutim, planirano je da se u 2014. izvrši revizija finansijskih izveštaja.</w:t>
      </w:r>
    </w:p>
    <w:p w:rsidR="00261842" w:rsidRPr="001E4CDF" w:rsidRDefault="00261842">
      <w:pPr>
        <w:pStyle w:val="ParagraphNumbering"/>
        <w:numPr>
          <w:ilvl w:val="0"/>
          <w:numId w:val="0"/>
        </w:numPr>
        <w:spacing w:line="260" w:lineRule="auto"/>
        <w:rPr>
          <w:lang w:val="sr-Latn-RS"/>
        </w:rPr>
      </w:pPr>
      <w:r w:rsidRPr="001E4CDF">
        <w:rPr>
          <w:lang w:val="sr-Latn-RS"/>
        </w:rPr>
        <w:t>Podrazumevana ocena D</w:t>
      </w:r>
    </w:p>
    <w:p w:rsidR="00261842" w:rsidRPr="001E4CDF" w:rsidRDefault="00261842">
      <w:pPr>
        <w:spacing w:after="240" w:line="240" w:lineRule="auto"/>
        <w:rPr>
          <w:b/>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xml:space="preserve">)  </w:t>
      </w:r>
      <w:proofErr w:type="spellStart"/>
      <w:r w:rsidRPr="001E4CDF">
        <w:rPr>
          <w:b/>
          <w:szCs w:val="24"/>
          <w:lang w:val="sr-Latn-RS"/>
        </w:rPr>
        <w:t>Blagovremenost</w:t>
      </w:r>
      <w:proofErr w:type="spellEnd"/>
      <w:r w:rsidRPr="001E4CDF">
        <w:rPr>
          <w:b/>
          <w:szCs w:val="24"/>
          <w:lang w:val="sr-Latn-RS"/>
        </w:rPr>
        <w:t xml:space="preserve"> dostavljanja revizorskog izveštaja zakonodavnoj vlasti</w:t>
      </w:r>
    </w:p>
    <w:p w:rsidR="00261842" w:rsidRPr="001E4CDF" w:rsidRDefault="00261842">
      <w:pPr>
        <w:pStyle w:val="ParagraphNumbering"/>
        <w:numPr>
          <w:ilvl w:val="0"/>
          <w:numId w:val="0"/>
        </w:numPr>
        <w:spacing w:line="260" w:lineRule="auto"/>
        <w:rPr>
          <w:lang w:val="sr-Latn-RS"/>
        </w:rPr>
      </w:pPr>
      <w:r w:rsidRPr="001E4CDF">
        <w:rPr>
          <w:lang w:val="sr-Latn-RS"/>
        </w:rPr>
        <w:t>Nije primenjivo</w:t>
      </w:r>
    </w:p>
    <w:p w:rsidR="00261842" w:rsidRPr="001E4CDF" w:rsidRDefault="00261842">
      <w:pPr>
        <w:spacing w:after="240" w:line="240" w:lineRule="auto"/>
        <w:rPr>
          <w:b/>
          <w:szCs w:val="24"/>
          <w:lang w:val="sr-Latn-RS"/>
        </w:rPr>
      </w:pPr>
    </w:p>
    <w:p w:rsidR="00261842" w:rsidRPr="001E4CDF" w:rsidRDefault="00261842">
      <w:pPr>
        <w:tabs>
          <w:tab w:val="num" w:pos="720"/>
          <w:tab w:val="num" w:pos="1146"/>
        </w:tabs>
        <w:autoSpaceDE w:val="0"/>
        <w:autoSpaceDN w:val="0"/>
        <w:adjustRightInd w:val="0"/>
        <w:spacing w:before="240" w:after="240" w:line="240" w:lineRule="auto"/>
        <w:rPr>
          <w:b/>
          <w:szCs w:val="24"/>
          <w:lang w:val="sr-Latn-RS"/>
        </w:rPr>
      </w:pPr>
      <w:r w:rsidRPr="001E4CDF">
        <w:rPr>
          <w:b/>
          <w:szCs w:val="24"/>
          <w:lang w:val="sr-Latn-RS"/>
        </w:rPr>
        <w:t xml:space="preserve"> (</w:t>
      </w:r>
      <w:proofErr w:type="spellStart"/>
      <w:r w:rsidRPr="001E4CDF">
        <w:rPr>
          <w:b/>
          <w:szCs w:val="24"/>
          <w:lang w:val="sr-Latn-RS"/>
        </w:rPr>
        <w:t>iii</w:t>
      </w:r>
      <w:proofErr w:type="spellEnd"/>
      <w:r w:rsidRPr="001E4CDF">
        <w:rPr>
          <w:b/>
          <w:szCs w:val="24"/>
          <w:lang w:val="sr-Latn-RS"/>
        </w:rPr>
        <w:t>)  Dokazi o preduzimanju mera u skladu sa preporukama revizije</w:t>
      </w:r>
    </w:p>
    <w:p w:rsidR="00261842" w:rsidRPr="001E4CDF" w:rsidRDefault="00261842">
      <w:pPr>
        <w:pStyle w:val="ParagraphNumbering"/>
        <w:numPr>
          <w:ilvl w:val="0"/>
          <w:numId w:val="0"/>
        </w:numPr>
        <w:spacing w:line="260" w:lineRule="auto"/>
        <w:rPr>
          <w:lang w:val="sr-Latn-RS"/>
        </w:rPr>
      </w:pPr>
      <w:r w:rsidRPr="001E4CDF">
        <w:rPr>
          <w:lang w:val="sr-Latn-RS"/>
        </w:rPr>
        <w:lastRenderedPageBreak/>
        <w:t>Nije primenjivo</w:t>
      </w:r>
    </w:p>
    <w:p w:rsidR="00261842" w:rsidRPr="001E4CDF" w:rsidRDefault="00261842">
      <w:pPr>
        <w:spacing w:line="260" w:lineRule="auto"/>
        <w:rPr>
          <w:rFonts w:ascii="Arial" w:hAnsi="Arial"/>
          <w:b/>
          <w:color w:val="000000"/>
          <w:szCs w:val="24"/>
          <w:lang w:val="sr-Latn-RS"/>
        </w:rPr>
      </w:pPr>
      <w:r w:rsidRPr="001E4CDF">
        <w:rPr>
          <w:b/>
          <w:szCs w:val="24"/>
          <w:lang w:val="sr-Latn-RS"/>
        </w:rPr>
        <w:t>PU-27: Zakonodavni</w:t>
      </w:r>
      <w:r w:rsidRPr="001E4CDF">
        <w:rPr>
          <w:b/>
          <w:color w:val="000000"/>
          <w:sz w:val="22"/>
          <w:szCs w:val="24"/>
          <w:lang w:val="sr-Latn-RS"/>
        </w:rPr>
        <w:t xml:space="preserve"> </w:t>
      </w:r>
      <w:r w:rsidRPr="001E4CDF">
        <w:rPr>
          <w:b/>
          <w:szCs w:val="24"/>
          <w:lang w:val="sr-Latn-RS"/>
        </w:rPr>
        <w:t>nadzor godišnjeg zakona o budžetu</w:t>
      </w:r>
    </w:p>
    <w:p w:rsidR="00261842" w:rsidRPr="001E4CDF" w:rsidRDefault="00261842">
      <w:pPr>
        <w:pStyle w:val="ParagraphNumbering"/>
        <w:numPr>
          <w:ilvl w:val="0"/>
          <w:numId w:val="0"/>
        </w:numPr>
        <w:spacing w:before="240" w:line="260" w:lineRule="auto"/>
        <w:jc w:val="both"/>
        <w:rPr>
          <w:rFonts w:ascii="Times" w:hAnsi="Times"/>
          <w:lang w:val="sr-Latn-RS"/>
        </w:rPr>
      </w:pPr>
      <w:r w:rsidRPr="001E4CDF">
        <w:rPr>
          <w:lang w:val="sr-Latn-RS"/>
        </w:rPr>
        <w:t>Ovaj indikator ocenjuje ulogu parlamenta u uspostavljanju budžetske politike i njeno ogledanje u godišnjem budžetu. Nadležnost za davanje vladi ovlašćenja za potrošnju je na zakonodavnoj vlasti, a sprovodi se usvajanjem godišnjeg zakona o budžetu i predstavlja važnu kariku u lancu odgovornosti za rezultate budžetske politike. Ocenjujući zakonodavni nadzor i debatu o godišnjem zakonu o budžetu, procena uzima u obzir nekoliko faktora, uključujući obim nadzora, interne procedure za ispitivanje i debate i vreme dozvoljeno za taj proces.</w:t>
      </w:r>
    </w:p>
    <w:p w:rsidR="00261842" w:rsidRPr="001E4CDF" w:rsidRDefault="00261842">
      <w:pPr>
        <w:rPr>
          <w:szCs w:val="24"/>
          <w:lang w:val="sr-Latn-RS"/>
        </w:rPr>
      </w:pPr>
    </w:p>
    <w:tbl>
      <w:tblPr>
        <w:tblW w:w="8789" w:type="dxa"/>
        <w:tblInd w:w="5" w:type="dxa"/>
        <w:tblLayout w:type="fixed"/>
        <w:tblCellMar>
          <w:left w:w="0" w:type="dxa"/>
          <w:right w:w="0" w:type="dxa"/>
        </w:tblCellMar>
        <w:tblLook w:val="04A0" w:firstRow="1" w:lastRow="0" w:firstColumn="1" w:lastColumn="0" w:noHBand="0" w:noVBand="1"/>
      </w:tblPr>
      <w:tblGrid>
        <w:gridCol w:w="2835"/>
        <w:gridCol w:w="1134"/>
        <w:gridCol w:w="4820"/>
      </w:tblGrid>
      <w:tr w:rsidR="00261842" w:rsidRPr="00025057">
        <w:trPr>
          <w:trHeight w:val="252"/>
        </w:trPr>
        <w:tc>
          <w:tcPr>
            <w:tcW w:w="2835" w:type="dxa"/>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40" w:lineRule="auto"/>
              <w:jc w:val="center"/>
              <w:rPr>
                <w:color w:val="000000"/>
                <w:sz w:val="20"/>
                <w:szCs w:val="24"/>
                <w:lang w:val="sr-Latn-RS"/>
              </w:rPr>
            </w:pPr>
          </w:p>
        </w:tc>
        <w:tc>
          <w:tcPr>
            <w:tcW w:w="5954" w:type="dxa"/>
            <w:gridSpan w:val="2"/>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2835" w:type="dxa"/>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40" w:lineRule="auto"/>
              <w:jc w:val="center"/>
              <w:rPr>
                <w:color w:val="000000"/>
                <w:sz w:val="20"/>
                <w:szCs w:val="24"/>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jc w:val="center"/>
              <w:rPr>
                <w:sz w:val="20"/>
                <w:szCs w:val="24"/>
                <w:lang w:val="sr-Latn-RS"/>
              </w:rPr>
            </w:pPr>
            <w:r w:rsidRPr="00C03E15">
              <w:rPr>
                <w:color w:val="000000"/>
                <w:sz w:val="20"/>
                <w:szCs w:val="24"/>
                <w:lang w:val="sr-Latn-RS"/>
              </w:rPr>
              <w:t>2014</w:t>
            </w:r>
          </w:p>
        </w:tc>
        <w:tc>
          <w:tcPr>
            <w:tcW w:w="4820" w:type="dxa"/>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color w:val="000000"/>
                <w:sz w:val="20"/>
                <w:szCs w:val="24"/>
                <w:lang w:val="sr-Latn-RS"/>
              </w:rPr>
              <w:t>Objašnjenje</w:t>
            </w:r>
          </w:p>
        </w:tc>
      </w:tr>
      <w:tr w:rsidR="00261842" w:rsidRPr="00C03E15">
        <w:trPr>
          <w:trHeight w:val="252"/>
        </w:trPr>
        <w:tc>
          <w:tcPr>
            <w:tcW w:w="2835" w:type="dxa"/>
            <w:tcBorders>
              <w:top w:val="single" w:sz="4" w:space="0" w:color="auto"/>
              <w:left w:val="single" w:sz="4" w:space="0" w:color="auto"/>
              <w:right w:val="single" w:sz="4" w:space="0" w:color="auto"/>
            </w:tcBorders>
          </w:tcPr>
          <w:p w:rsidR="00261842" w:rsidRPr="00C03E15" w:rsidRDefault="00261842">
            <w:pPr>
              <w:spacing w:line="260" w:lineRule="auto"/>
              <w:rPr>
                <w:szCs w:val="24"/>
                <w:lang w:val="sr-Latn-RS"/>
              </w:rPr>
            </w:pPr>
            <w:r w:rsidRPr="00C03E15">
              <w:rPr>
                <w:b/>
                <w:sz w:val="20"/>
                <w:szCs w:val="24"/>
                <w:lang w:val="sr-Latn-RS"/>
              </w:rPr>
              <w:t>PU-27: Zakonodavni</w:t>
            </w:r>
            <w:r w:rsidRPr="00C03E15">
              <w:rPr>
                <w:b/>
                <w:color w:val="000000"/>
                <w:sz w:val="22"/>
                <w:szCs w:val="24"/>
                <w:lang w:val="sr-Latn-RS"/>
              </w:rPr>
              <w:t xml:space="preserve"> </w:t>
            </w:r>
            <w:r w:rsidRPr="00C03E15">
              <w:rPr>
                <w:b/>
                <w:sz w:val="20"/>
                <w:szCs w:val="24"/>
                <w:lang w:val="sr-Latn-RS"/>
              </w:rPr>
              <w:t>nadzor godišnjeg zakona o budžetu</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b/>
                <w:color w:val="000000"/>
                <w:sz w:val="20"/>
                <w:szCs w:val="24"/>
                <w:lang w:val="sr-Latn-RS"/>
              </w:rPr>
              <w:t>Ocena D+</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color w:val="000000"/>
                <w:sz w:val="20"/>
                <w:szCs w:val="24"/>
                <w:lang w:val="sr-Latn-RS"/>
              </w:rPr>
            </w:pPr>
          </w:p>
        </w:tc>
      </w:tr>
      <w:tr w:rsidR="00261842" w:rsidRPr="00025057">
        <w:trPr>
          <w:trHeight w:val="252"/>
        </w:trPr>
        <w:tc>
          <w:tcPr>
            <w:tcW w:w="2835" w:type="dxa"/>
            <w:tcBorders>
              <w:top w:val="single" w:sz="4" w:space="0" w:color="auto"/>
              <w:left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(i) Obim zakonodavnog nadzora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color w:val="000000"/>
                <w:sz w:val="20"/>
                <w:szCs w:val="24"/>
                <w:lang w:val="sr-Latn-RS"/>
              </w:rPr>
              <w:t>C</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both"/>
              <w:rPr>
                <w:szCs w:val="24"/>
                <w:lang w:val="sr-Latn-RS"/>
              </w:rPr>
            </w:pPr>
            <w:r w:rsidRPr="00C03E15">
              <w:rPr>
                <w:sz w:val="20"/>
                <w:szCs w:val="24"/>
                <w:lang w:val="sr-Latn-RS"/>
              </w:rPr>
              <w:t>Zakonodavni pregled obuhvata detaljne podatke o prihodima i rashodima, ali tek u fazi kad su detaljni predlozi već gotovi.</w:t>
            </w:r>
          </w:p>
        </w:tc>
      </w:tr>
      <w:tr w:rsidR="00261842" w:rsidRPr="00025057">
        <w:trPr>
          <w:trHeight w:val="252"/>
        </w:trPr>
        <w:tc>
          <w:tcPr>
            <w:tcW w:w="2835" w:type="dxa"/>
            <w:tcBorders>
              <w:top w:val="single" w:sz="4" w:space="0" w:color="auto"/>
              <w:left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Mera u kojoj su zakonodavne procedure dobro ustanovljene i njihovo poštovanje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color w:val="000000"/>
                <w:sz w:val="20"/>
                <w:szCs w:val="24"/>
                <w:lang w:val="sr-Latn-RS"/>
              </w:rPr>
              <w:t>A</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szCs w:val="24"/>
                <w:lang w:val="sr-Latn-RS"/>
              </w:rPr>
            </w:pPr>
            <w:r w:rsidRPr="00C03E15">
              <w:rPr>
                <w:color w:val="000000"/>
                <w:sz w:val="20"/>
                <w:szCs w:val="24"/>
                <w:lang w:val="sr-Latn-RS"/>
              </w:rPr>
              <w:t>Procedure za pregled budžeta od strane zakonodavnog tela su jasno postavljene i poštuju se. Obuhvataju interne organizacione aranžmane, specijalizovane odbore koji razmatraju budžet, i procedure pregovaranja.</w:t>
            </w:r>
          </w:p>
        </w:tc>
      </w:tr>
      <w:tr w:rsidR="00261842" w:rsidRPr="00025057">
        <w:trPr>
          <w:trHeight w:val="252"/>
        </w:trPr>
        <w:tc>
          <w:tcPr>
            <w:tcW w:w="2835"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xml:space="preserve">) Adekvatnost vremenskog perioda u kom nadležni zakonodavni organ treba da </w:t>
            </w:r>
            <w:proofErr w:type="spellStart"/>
            <w:r w:rsidRPr="00C03E15">
              <w:rPr>
                <w:sz w:val="20"/>
                <w:szCs w:val="24"/>
                <w:lang w:val="sr-Latn-RS"/>
              </w:rPr>
              <w:t>da</w:t>
            </w:r>
            <w:proofErr w:type="spellEnd"/>
            <w:r w:rsidRPr="00C03E15">
              <w:rPr>
                <w:sz w:val="20"/>
                <w:szCs w:val="24"/>
                <w:lang w:val="sr-Latn-RS"/>
              </w:rPr>
              <w:t xml:space="preserve"> odgovor na predlog budžeta i detaljne procene, kao i – tamo gde je to primenjivo - na predloge makro-fiskalnih agregata tokom pripreme budžeta (vreme koje je u praksi ostavljeno za sve faze zajedno)</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color w:val="000000"/>
                <w:sz w:val="20"/>
                <w:szCs w:val="24"/>
                <w:lang w:val="sr-Latn-RS"/>
              </w:rPr>
              <w:t>D</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szCs w:val="24"/>
                <w:lang w:val="sr-Latn-RS"/>
              </w:rPr>
            </w:pPr>
            <w:r w:rsidRPr="00C03E15">
              <w:rPr>
                <w:color w:val="000000"/>
                <w:sz w:val="20"/>
                <w:szCs w:val="24"/>
                <w:lang w:val="sr-Latn-RS"/>
              </w:rPr>
              <w:t>Vreme koje zakonodavno telo ima za razmatranje budžetskih predloga je očigledno nedovoljno za značajnu raspravu (puno manje od mesec dana).</w:t>
            </w:r>
          </w:p>
        </w:tc>
      </w:tr>
      <w:tr w:rsidR="00261842" w:rsidRPr="00025057">
        <w:trPr>
          <w:trHeight w:val="252"/>
        </w:trPr>
        <w:tc>
          <w:tcPr>
            <w:tcW w:w="2835"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iv</w:t>
            </w:r>
            <w:proofErr w:type="spellEnd"/>
            <w:r w:rsidRPr="00C03E15">
              <w:rPr>
                <w:sz w:val="20"/>
                <w:szCs w:val="24"/>
                <w:lang w:val="sr-Latn-RS"/>
              </w:rPr>
              <w:t>) Pravila za izmene budžeta u toku godine bez prethodne saglasnosti zakonodavne vlasti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color w:val="000000"/>
                <w:sz w:val="20"/>
                <w:szCs w:val="24"/>
                <w:lang w:val="sr-Latn-RS"/>
              </w:rPr>
              <w:t>B</w:t>
            </w:r>
          </w:p>
        </w:tc>
        <w:tc>
          <w:tcPr>
            <w:tcW w:w="4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szCs w:val="24"/>
                <w:lang w:val="sr-Latn-RS"/>
              </w:rPr>
            </w:pPr>
            <w:r w:rsidRPr="00C03E15">
              <w:rPr>
                <w:color w:val="000000"/>
                <w:sz w:val="20"/>
                <w:szCs w:val="24"/>
                <w:lang w:val="sr-Latn-RS"/>
              </w:rPr>
              <w:t>Postoje jasna pravila za izmene u toku godine od strane izvršnih organa, postavljena su striktna osiguranja u pogledu iznosa i prirode izmena i obično se primenjuju, ali dozvoljavaju značajnu administrativnu preraspodelu.</w:t>
            </w:r>
          </w:p>
        </w:tc>
      </w:tr>
    </w:tbl>
    <w:p w:rsidR="00261842" w:rsidRPr="001E4CDF" w:rsidRDefault="00261842">
      <w:pPr>
        <w:pStyle w:val="ParagraphNumbering"/>
        <w:numPr>
          <w:ilvl w:val="0"/>
          <w:numId w:val="0"/>
        </w:numPr>
        <w:tabs>
          <w:tab w:val="num" w:pos="1146"/>
        </w:tabs>
        <w:autoSpaceDE w:val="0"/>
        <w:autoSpaceDN w:val="0"/>
        <w:adjustRightInd w:val="0"/>
        <w:spacing w:before="240" w:line="260" w:lineRule="auto"/>
        <w:rPr>
          <w:lang w:val="sr-Latn-RS"/>
        </w:rPr>
      </w:pPr>
      <w:r w:rsidRPr="001E4CDF">
        <w:rPr>
          <w:b/>
          <w:lang w:val="sr-Latn-RS"/>
        </w:rPr>
        <w:t xml:space="preserve">(i) Obim zakonodavnog nadzora </w:t>
      </w:r>
    </w:p>
    <w:p w:rsidR="00261842" w:rsidRPr="001E4CDF" w:rsidRDefault="00261842">
      <w:pPr>
        <w:pStyle w:val="ParagraphNumbering"/>
        <w:numPr>
          <w:ilvl w:val="0"/>
          <w:numId w:val="0"/>
        </w:numPr>
        <w:spacing w:line="260" w:lineRule="auto"/>
        <w:jc w:val="both"/>
        <w:rPr>
          <w:lang w:val="sr-Latn-RS"/>
        </w:rPr>
      </w:pPr>
      <w:r w:rsidRPr="001E4CDF">
        <w:rPr>
          <w:lang w:val="sr-Latn-RS"/>
        </w:rPr>
        <w:t xml:space="preserve">Kada izvršni organ (Gradsko veće) razmotri budžet, prosleđuje ga Skupštini koja ima 33 odbornika.  Skupštinska služba ga šalje svim odbornicima na razmatranje.  Postoji Odbor za privredu i finansije koji se sastoji od sedam članova koje imenuje Skupština (od kojih petoro nisu članovi Skupštine, sa predsednikom i zamenikom predsednika koji su članovi </w:t>
      </w:r>
      <w:r w:rsidRPr="001E4CDF">
        <w:rPr>
          <w:lang w:val="sr-Latn-RS"/>
        </w:rPr>
        <w:lastRenderedPageBreak/>
        <w:t>Skupštine). Ovom Odboru ostavljeno je sedam dana za razmatranje predloga budžeta i ima mandat da predloži izmene.  U ovom koraku predložene izmene se šalju članovima i organu izvršne vlasti (Opštinsko veće) najkasnije tri dana pre isteka perioda od sedam dana koji je ostavljen odboru za razmatranje.  Izmene i budžet se razmatraju na sednici Skupštine pošto se prethodno obavi glasanje o izmenama. Kompletan budžet koji se razmatra obuhvata elemente iz PU-6 a za ovaj posao ostavljen je jedan dan.</w:t>
      </w:r>
    </w:p>
    <w:p w:rsidR="00261842" w:rsidRPr="001E4CDF" w:rsidRDefault="00261842">
      <w:pPr>
        <w:pStyle w:val="ParagraphNumbering"/>
        <w:numPr>
          <w:ilvl w:val="0"/>
          <w:numId w:val="0"/>
        </w:numPr>
        <w:spacing w:line="260" w:lineRule="auto"/>
        <w:rPr>
          <w:lang w:val="sr-Latn-RS"/>
        </w:rPr>
      </w:pPr>
      <w:r w:rsidRPr="001E4CDF">
        <w:rPr>
          <w:lang w:val="sr-Latn-RS"/>
        </w:rPr>
        <w:t>Ocena C</w:t>
      </w:r>
    </w:p>
    <w:p w:rsidR="00261842" w:rsidRPr="001E4CDF" w:rsidRDefault="00261842">
      <w:pPr>
        <w:pStyle w:val="ListParagraph"/>
        <w:tabs>
          <w:tab w:val="num" w:pos="720"/>
          <w:tab w:val="num" w:pos="1146"/>
        </w:tabs>
        <w:autoSpaceDE w:val="0"/>
        <w:autoSpaceDN w:val="0"/>
        <w:adjustRightInd w:val="0"/>
        <w:spacing w:before="240" w:after="240" w:line="260" w:lineRule="auto"/>
        <w:ind w:left="0"/>
        <w:contextualSpacing w:val="0"/>
        <w:jc w:val="both"/>
        <w:rPr>
          <w:szCs w:val="24"/>
          <w:lang w:val="sr-Latn-RS"/>
        </w:rPr>
      </w:pPr>
      <w:r w:rsidRPr="001E4CDF">
        <w:rPr>
          <w:b/>
          <w:szCs w:val="24"/>
          <w:lang w:val="sr-Latn-RS"/>
        </w:rPr>
        <w:t>(</w:t>
      </w:r>
      <w:proofErr w:type="spellStart"/>
      <w:r w:rsidRPr="001E4CDF">
        <w:rPr>
          <w:b/>
          <w:szCs w:val="24"/>
          <w:lang w:val="sr-Latn-RS"/>
        </w:rPr>
        <w:t>ii</w:t>
      </w:r>
      <w:proofErr w:type="spellEnd"/>
      <w:r w:rsidRPr="001E4CDF">
        <w:rPr>
          <w:b/>
          <w:szCs w:val="24"/>
          <w:lang w:val="sr-Latn-RS"/>
        </w:rPr>
        <w:t xml:space="preserve">) Mera u kojoj su zakonodavne procedure dobro ustanovljene i njihovo poštovanje </w:t>
      </w:r>
    </w:p>
    <w:p w:rsidR="00261842" w:rsidRPr="001E4CDF" w:rsidRDefault="00261842">
      <w:pPr>
        <w:pStyle w:val="ParagraphNumbering"/>
        <w:numPr>
          <w:ilvl w:val="0"/>
          <w:numId w:val="0"/>
        </w:numPr>
        <w:spacing w:line="260" w:lineRule="auto"/>
        <w:jc w:val="both"/>
        <w:rPr>
          <w:lang w:val="sr-Latn-RS"/>
        </w:rPr>
      </w:pPr>
      <w:r w:rsidRPr="001E4CDF">
        <w:rPr>
          <w:lang w:val="sr-Latn-RS"/>
        </w:rPr>
        <w:t xml:space="preserve">Procedure su uspostavljene i poštuju se.  Postoji pravilnik za fazu razmatranja na odboru kao i pravilnik za skupštinsku raspravu kojim je odbornicima ostavljeno vreme za izlaganje.  Državni zvaničnici su takođe prisutni kako bi im bila upućena pitanja.  Preciznost i </w:t>
      </w:r>
      <w:proofErr w:type="spellStart"/>
      <w:r w:rsidRPr="001E4CDF">
        <w:rPr>
          <w:lang w:val="sr-Latn-RS"/>
        </w:rPr>
        <w:t>sveobuhvatnost</w:t>
      </w:r>
      <w:proofErr w:type="spellEnd"/>
      <w:r w:rsidRPr="001E4CDF">
        <w:rPr>
          <w:lang w:val="sr-Latn-RS"/>
        </w:rPr>
        <w:t xml:space="preserve"> podataka u izveštajima se obezbeđuje sravnjivanjem sa konsolidovanim računom trezora u Upravi za trezor i automatizovanom i logičkom kontrolom u okviru Uprave za trezor.</w:t>
      </w:r>
    </w:p>
    <w:p w:rsidR="00261842" w:rsidRPr="001E4CDF" w:rsidRDefault="00261842">
      <w:pPr>
        <w:spacing w:line="260" w:lineRule="auto"/>
        <w:rPr>
          <w:b/>
          <w:szCs w:val="24"/>
          <w:lang w:val="sr-Latn-RS"/>
        </w:rPr>
      </w:pPr>
      <w:r w:rsidRPr="001E4CDF">
        <w:rPr>
          <w:b/>
          <w:szCs w:val="24"/>
          <w:lang w:val="sr-Latn-RS"/>
        </w:rPr>
        <w:t>(</w:t>
      </w:r>
      <w:proofErr w:type="spellStart"/>
      <w:r w:rsidRPr="001E4CDF">
        <w:rPr>
          <w:b/>
          <w:szCs w:val="24"/>
          <w:lang w:val="sr-Latn-RS"/>
        </w:rPr>
        <w:t>iii</w:t>
      </w:r>
      <w:proofErr w:type="spellEnd"/>
      <w:r w:rsidRPr="001E4CDF">
        <w:rPr>
          <w:b/>
          <w:szCs w:val="24"/>
          <w:lang w:val="sr-Latn-RS"/>
        </w:rPr>
        <w:t xml:space="preserve">) Adekvatnost vremenskog perioda u kom nadležni zakonodavni organ treba da </w:t>
      </w:r>
      <w:proofErr w:type="spellStart"/>
      <w:r w:rsidRPr="001E4CDF">
        <w:rPr>
          <w:b/>
          <w:szCs w:val="24"/>
          <w:lang w:val="sr-Latn-RS"/>
        </w:rPr>
        <w:t>da</w:t>
      </w:r>
      <w:proofErr w:type="spellEnd"/>
      <w:r w:rsidRPr="001E4CDF">
        <w:rPr>
          <w:b/>
          <w:szCs w:val="24"/>
          <w:lang w:val="sr-Latn-RS"/>
        </w:rPr>
        <w:t xml:space="preserve"> odgovor na predlog budžeta i detaljne procene, kao i – tamo gde je to primenjivo - na predloge makro-fiskalnih agregata tokom pripreme budžeta (vreme koje je u praksi ostavljeno za sve faze zajedno)</w:t>
      </w:r>
    </w:p>
    <w:p w:rsidR="00261842" w:rsidRPr="001E4CDF" w:rsidRDefault="00261842">
      <w:pPr>
        <w:rPr>
          <w:b/>
          <w:szCs w:val="24"/>
          <w:lang w:val="sr-Latn-RS"/>
        </w:rPr>
      </w:pPr>
    </w:p>
    <w:p w:rsidR="00261842" w:rsidRPr="00C03E15" w:rsidRDefault="00261842">
      <w:pPr>
        <w:pStyle w:val="ParagraphNumbering"/>
        <w:numPr>
          <w:ilvl w:val="0"/>
          <w:numId w:val="0"/>
        </w:numPr>
        <w:spacing w:line="260" w:lineRule="auto"/>
        <w:jc w:val="both"/>
        <w:rPr>
          <w:rFonts w:ascii="Calibri" w:hAnsi="Calibri"/>
          <w:color w:val="000000"/>
          <w:lang w:val="sr-Latn-RS"/>
        </w:rPr>
      </w:pPr>
      <w:r w:rsidRPr="001E4CDF">
        <w:rPr>
          <w:lang w:val="sr-Latn-RS"/>
        </w:rPr>
        <w:t>Vreme raspoloživo za razmatranje predloga budžeta je oko 10 dana, što predstavlja vreme za koje odbornici mogu da  pročitaju predlog, a odbor za budžet da ga razmotri.  Rasprava o budžetu se obično sprovodi u okviru jednog skupštinskog zasedanja.  Veće je predlog budžeta za 2013. dostavilo Skupštini 10. decembra 2012. a predlog budžeta za 2014. dostavljen je 12. decembra 2013. godine.</w:t>
      </w:r>
    </w:p>
    <w:p w:rsidR="00261842" w:rsidRPr="001E4CDF" w:rsidRDefault="00261842">
      <w:pPr>
        <w:pStyle w:val="ParagraphNumbering"/>
        <w:numPr>
          <w:ilvl w:val="0"/>
          <w:numId w:val="0"/>
        </w:numPr>
        <w:spacing w:line="260" w:lineRule="auto"/>
        <w:jc w:val="both"/>
        <w:rPr>
          <w:lang w:val="sr-Latn-RS"/>
        </w:rPr>
      </w:pPr>
      <w:r w:rsidRPr="001E4CDF">
        <w:rPr>
          <w:lang w:val="sr-Latn-RS"/>
        </w:rPr>
        <w:t>Ocena D</w:t>
      </w:r>
    </w:p>
    <w:p w:rsidR="00261842" w:rsidRPr="001E4CDF" w:rsidRDefault="00261842">
      <w:pPr>
        <w:pStyle w:val="Default"/>
        <w:tabs>
          <w:tab w:val="num" w:pos="1146"/>
        </w:tabs>
        <w:spacing w:before="240" w:after="240" w:line="260" w:lineRule="auto"/>
        <w:rPr>
          <w:rFonts w:ascii="SimSun"/>
          <w:lang w:val="sr-Latn-RS"/>
        </w:rPr>
      </w:pPr>
      <w:r w:rsidRPr="001E4CDF">
        <w:rPr>
          <w:b/>
          <w:lang w:val="sr-Latn-RS"/>
        </w:rPr>
        <w:t>(</w:t>
      </w:r>
      <w:proofErr w:type="spellStart"/>
      <w:r w:rsidRPr="001E4CDF">
        <w:rPr>
          <w:b/>
          <w:lang w:val="sr-Latn-RS"/>
        </w:rPr>
        <w:t>iv</w:t>
      </w:r>
      <w:proofErr w:type="spellEnd"/>
      <w:r w:rsidRPr="001E4CDF">
        <w:rPr>
          <w:b/>
          <w:lang w:val="sr-Latn-RS"/>
        </w:rPr>
        <w:t xml:space="preserve">) Pravila za izmene budžeta u toku godine bez prethodne saglasnosti zakonodavne vlasti </w:t>
      </w:r>
    </w:p>
    <w:p w:rsidR="00261842" w:rsidRPr="001E4CDF" w:rsidRDefault="00261842">
      <w:pPr>
        <w:spacing w:line="240" w:lineRule="auto"/>
        <w:jc w:val="both"/>
        <w:rPr>
          <w:szCs w:val="24"/>
          <w:lang w:val="sr-Latn-RS"/>
        </w:rPr>
      </w:pPr>
      <w:r w:rsidRPr="001E4CDF">
        <w:rPr>
          <w:szCs w:val="24"/>
          <w:lang w:val="sr-Latn-RS"/>
        </w:rPr>
        <w:t xml:space="preserve">Postoje jasna pravila u vezi sa izmenom budžeta od strane izvršne vlasti. Član 61. Zakona o budžetskom sistemu omogućava direktnom korisniku budžetskih sredstava, uz saglasnost organa lokalne samouprave za finansije, da preusmeri </w:t>
      </w:r>
      <w:proofErr w:type="spellStart"/>
      <w:r w:rsidRPr="001E4CDF">
        <w:rPr>
          <w:szCs w:val="24"/>
          <w:lang w:val="sr-Latn-RS"/>
        </w:rPr>
        <w:t>aproprijacije</w:t>
      </w:r>
      <w:proofErr w:type="spellEnd"/>
      <w:r w:rsidRPr="001E4CDF">
        <w:rPr>
          <w:szCs w:val="24"/>
          <w:lang w:val="sr-Latn-RS"/>
        </w:rPr>
        <w:t xml:space="preserve"> odobrene za određeni rashod do 5% vrednosti </w:t>
      </w:r>
      <w:proofErr w:type="spellStart"/>
      <w:r w:rsidRPr="001E4CDF">
        <w:rPr>
          <w:szCs w:val="24"/>
          <w:lang w:val="sr-Latn-RS"/>
        </w:rPr>
        <w:t>aproprijacije</w:t>
      </w:r>
      <w:proofErr w:type="spellEnd"/>
      <w:r w:rsidRPr="001E4CDF">
        <w:rPr>
          <w:szCs w:val="24"/>
          <w:lang w:val="sr-Latn-RS"/>
        </w:rPr>
        <w:t xml:space="preserve"> čiji se iznos umanjuje.  Stroga pravila nadzora su definisana u pogledu sume i prirode ovih promena se poštuju, ali dozvoljavaju značajne administrativne preraspodele. </w:t>
      </w:r>
    </w:p>
    <w:p w:rsidR="00261842" w:rsidRPr="001E4CDF" w:rsidRDefault="00261842">
      <w:pPr>
        <w:pStyle w:val="ParagraphNumbering"/>
        <w:numPr>
          <w:ilvl w:val="0"/>
          <w:numId w:val="0"/>
        </w:numPr>
        <w:spacing w:line="260" w:lineRule="auto"/>
        <w:rPr>
          <w:lang w:val="sr-Latn-RS"/>
        </w:rPr>
      </w:pPr>
      <w:r w:rsidRPr="001E4CDF">
        <w:rPr>
          <w:lang w:val="sr-Latn-RS"/>
        </w:rPr>
        <w:t>Ocena B</w:t>
      </w:r>
    </w:p>
    <w:p w:rsidR="00261842" w:rsidRPr="001E4CDF" w:rsidRDefault="00261842">
      <w:pPr>
        <w:spacing w:after="240" w:line="260" w:lineRule="auto"/>
        <w:rPr>
          <w:b/>
          <w:szCs w:val="24"/>
          <w:lang w:val="sr-Latn-RS"/>
        </w:rPr>
      </w:pPr>
      <w:r w:rsidRPr="001E4CDF">
        <w:rPr>
          <w:b/>
          <w:szCs w:val="24"/>
          <w:lang w:val="sr-Latn-RS"/>
        </w:rPr>
        <w:lastRenderedPageBreak/>
        <w:t>PU-28: Zakonodavni nadzor izveštaja eksterne revizije</w:t>
      </w:r>
    </w:p>
    <w:tbl>
      <w:tblPr>
        <w:tblW w:w="9083" w:type="dxa"/>
        <w:tblInd w:w="-147" w:type="dxa"/>
        <w:tblLayout w:type="fixed"/>
        <w:tblCellMar>
          <w:left w:w="0" w:type="dxa"/>
          <w:right w:w="0" w:type="dxa"/>
        </w:tblCellMar>
        <w:tblLook w:val="04A0" w:firstRow="1" w:lastRow="0" w:firstColumn="1" w:lastColumn="0" w:noHBand="0" w:noVBand="1"/>
      </w:tblPr>
      <w:tblGrid>
        <w:gridCol w:w="2846"/>
        <w:gridCol w:w="1134"/>
        <w:gridCol w:w="5093"/>
        <w:gridCol w:w="10"/>
      </w:tblGrid>
      <w:tr w:rsidR="00261842" w:rsidRPr="00025057">
        <w:trPr>
          <w:gridAfter w:val="1"/>
          <w:wAfter w:w="10" w:type="dxa"/>
          <w:trHeight w:val="252"/>
        </w:trPr>
        <w:tc>
          <w:tcPr>
            <w:tcW w:w="2846" w:type="dxa"/>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40" w:lineRule="auto"/>
              <w:rPr>
                <w:color w:val="000000"/>
                <w:sz w:val="20"/>
                <w:szCs w:val="24"/>
                <w:lang w:val="sr-Latn-RS"/>
              </w:rPr>
            </w:pPr>
          </w:p>
        </w:tc>
        <w:tc>
          <w:tcPr>
            <w:tcW w:w="6227" w:type="dxa"/>
            <w:gridSpan w:val="2"/>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2846" w:type="dxa"/>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40" w:lineRule="auto"/>
              <w:jc w:val="center"/>
              <w:rPr>
                <w:color w:val="000000"/>
                <w:sz w:val="20"/>
                <w:szCs w:val="24"/>
                <w:lang w:val="sr-Latn-RS"/>
              </w:rPr>
            </w:pPr>
          </w:p>
        </w:tc>
        <w:tc>
          <w:tcPr>
            <w:tcW w:w="1134" w:type="dxa"/>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jc w:val="center"/>
              <w:rPr>
                <w:sz w:val="20"/>
                <w:szCs w:val="24"/>
                <w:lang w:val="sr-Latn-RS"/>
              </w:rPr>
            </w:pPr>
            <w:r w:rsidRPr="00C03E15">
              <w:rPr>
                <w:color w:val="000000"/>
                <w:sz w:val="20"/>
                <w:szCs w:val="24"/>
                <w:lang w:val="sr-Latn-RS"/>
              </w:rPr>
              <w:t>2014</w:t>
            </w:r>
          </w:p>
        </w:tc>
        <w:tc>
          <w:tcPr>
            <w:tcW w:w="5103" w:type="dxa"/>
            <w:gridSpan w:val="2"/>
            <w:tcBorders>
              <w:top w:val="single" w:sz="4" w:space="0" w:color="auto"/>
              <w:left w:val="single" w:sz="4" w:space="0" w:color="auto"/>
              <w:bottom w:val="single" w:sz="4" w:space="0" w:color="auto"/>
              <w:right w:val="single" w:sz="4" w:space="0" w:color="auto"/>
            </w:tcBorders>
            <w:shd w:val="clear" w:color="auto" w:fill="D2EFFF"/>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color w:val="000000"/>
                <w:sz w:val="20"/>
                <w:szCs w:val="24"/>
                <w:lang w:val="sr-Latn-RS"/>
              </w:rPr>
              <w:t>Objašnjenje</w:t>
            </w:r>
          </w:p>
        </w:tc>
      </w:tr>
      <w:tr w:rsidR="00261842" w:rsidRPr="00C03E15">
        <w:trPr>
          <w:trHeight w:val="252"/>
        </w:trPr>
        <w:tc>
          <w:tcPr>
            <w:tcW w:w="2846" w:type="dxa"/>
            <w:tcBorders>
              <w:top w:val="single" w:sz="4" w:space="0" w:color="auto"/>
              <w:left w:val="single" w:sz="4" w:space="0" w:color="auto"/>
              <w:right w:val="single" w:sz="4" w:space="0" w:color="auto"/>
            </w:tcBorders>
          </w:tcPr>
          <w:p w:rsidR="00261842" w:rsidRPr="00C03E15" w:rsidRDefault="00261842">
            <w:pPr>
              <w:spacing w:line="240" w:lineRule="auto"/>
              <w:rPr>
                <w:szCs w:val="24"/>
                <w:lang w:val="sr-Latn-RS"/>
              </w:rPr>
            </w:pPr>
            <w:r w:rsidRPr="00C03E15">
              <w:rPr>
                <w:b/>
                <w:sz w:val="20"/>
                <w:szCs w:val="24"/>
                <w:lang w:val="sr-Latn-RS"/>
              </w:rPr>
              <w:t>PU-28: Zakonodavni nadzor izveštaja eksterne revizije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b/>
                <w:color w:val="000000"/>
                <w:sz w:val="20"/>
                <w:szCs w:val="24"/>
                <w:lang w:val="sr-Latn-RS"/>
              </w:rPr>
              <w:t>Ocena D</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color w:val="000000"/>
                <w:sz w:val="20"/>
                <w:szCs w:val="24"/>
                <w:lang w:val="sr-Latn-RS"/>
              </w:rPr>
            </w:pPr>
          </w:p>
        </w:tc>
      </w:tr>
      <w:tr w:rsidR="00261842" w:rsidRPr="00C03E15">
        <w:trPr>
          <w:trHeight w:val="252"/>
        </w:trPr>
        <w:tc>
          <w:tcPr>
            <w:tcW w:w="2846" w:type="dxa"/>
            <w:tcBorders>
              <w:top w:val="single" w:sz="4" w:space="0" w:color="auto"/>
              <w:left w:val="single" w:sz="4" w:space="0" w:color="auto"/>
              <w:right w:val="single" w:sz="4" w:space="0" w:color="auto"/>
            </w:tcBorders>
          </w:tcPr>
          <w:p w:rsidR="00261842" w:rsidRPr="00C03E15" w:rsidRDefault="00261842">
            <w:pPr>
              <w:spacing w:line="240" w:lineRule="auto"/>
              <w:rPr>
                <w:szCs w:val="24"/>
                <w:lang w:val="sr-Latn-RS"/>
              </w:rPr>
            </w:pPr>
            <w:r w:rsidRPr="00C03E15">
              <w:rPr>
                <w:b/>
                <w:sz w:val="20"/>
                <w:szCs w:val="24"/>
                <w:lang w:val="sr-Latn-RS"/>
              </w:rPr>
              <w:t>(i)</w:t>
            </w:r>
            <w:r w:rsidRPr="00C03E15">
              <w:rPr>
                <w:sz w:val="20"/>
                <w:szCs w:val="24"/>
                <w:lang w:val="sr-Latn-RS"/>
              </w:rPr>
              <w:t xml:space="preserve"> Pravovremenost razmatranja izveštaja od strane nadležnog zakonodavnog organa</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sz w:val="20"/>
                <w:szCs w:val="24"/>
                <w:lang w:val="sr-Latn-RS"/>
              </w:rPr>
              <w:t>D</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color w:val="000000"/>
                <w:sz w:val="20"/>
                <w:szCs w:val="24"/>
                <w:lang w:val="sr-Latn-RS"/>
              </w:rPr>
            </w:pPr>
          </w:p>
        </w:tc>
      </w:tr>
      <w:tr w:rsidR="00261842" w:rsidRPr="00C03E15">
        <w:trPr>
          <w:trHeight w:val="252"/>
        </w:trPr>
        <w:tc>
          <w:tcPr>
            <w:tcW w:w="2846"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w:t>
            </w:r>
            <w:proofErr w:type="spellEnd"/>
            <w:r w:rsidRPr="00C03E15">
              <w:rPr>
                <w:sz w:val="20"/>
                <w:szCs w:val="24"/>
                <w:lang w:val="sr-Latn-RS"/>
              </w:rPr>
              <w:t>) Obim rasprava nadležnog zakonodavnog organa o ključnim nalazima revizije</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sz w:val="20"/>
                <w:szCs w:val="24"/>
                <w:lang w:val="sr-Latn-RS"/>
              </w:rPr>
              <w:t>NP</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59" w:lineRule="auto"/>
              <w:rPr>
                <w:color w:val="000000"/>
                <w:sz w:val="20"/>
                <w:szCs w:val="24"/>
                <w:lang w:val="sr-Latn-RS"/>
              </w:rPr>
            </w:pPr>
          </w:p>
        </w:tc>
      </w:tr>
      <w:tr w:rsidR="00261842" w:rsidRPr="00C03E15">
        <w:trPr>
          <w:trHeight w:val="252"/>
        </w:trPr>
        <w:tc>
          <w:tcPr>
            <w:tcW w:w="2846" w:type="dxa"/>
            <w:tcBorders>
              <w:top w:val="single" w:sz="4" w:space="0" w:color="auto"/>
              <w:left w:val="single" w:sz="4" w:space="0" w:color="auto"/>
              <w:bottom w:val="single" w:sz="4" w:space="0" w:color="auto"/>
              <w:right w:val="single" w:sz="4" w:space="0" w:color="auto"/>
            </w:tcBorders>
          </w:tcPr>
          <w:p w:rsidR="00261842" w:rsidRPr="00C03E15" w:rsidRDefault="00261842">
            <w:pPr>
              <w:spacing w:line="240" w:lineRule="auto"/>
              <w:rPr>
                <w:szCs w:val="24"/>
                <w:lang w:val="sr-Latn-RS"/>
              </w:rPr>
            </w:pPr>
            <w:r w:rsidRPr="00C03E15">
              <w:rPr>
                <w:sz w:val="20"/>
                <w:szCs w:val="24"/>
                <w:lang w:val="sr-Latn-RS"/>
              </w:rPr>
              <w:t>(</w:t>
            </w:r>
            <w:proofErr w:type="spellStart"/>
            <w:r w:rsidRPr="00C03E15">
              <w:rPr>
                <w:sz w:val="20"/>
                <w:szCs w:val="24"/>
                <w:lang w:val="sr-Latn-RS"/>
              </w:rPr>
              <w:t>iii</w:t>
            </w:r>
            <w:proofErr w:type="spellEnd"/>
            <w:r w:rsidRPr="00C03E15">
              <w:rPr>
                <w:sz w:val="20"/>
                <w:szCs w:val="24"/>
                <w:lang w:val="sr-Latn-RS"/>
              </w:rPr>
              <w:t>) Preporuke koje je izdao nadležni zakonodavni organ i njihovo sprovođenje od strane izvršne vlasti</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jc w:val="center"/>
              <w:rPr>
                <w:szCs w:val="24"/>
                <w:lang w:val="sr-Latn-RS"/>
              </w:rPr>
            </w:pPr>
            <w:r w:rsidRPr="00C03E15">
              <w:rPr>
                <w:sz w:val="20"/>
                <w:szCs w:val="24"/>
                <w:lang w:val="sr-Latn-RS"/>
              </w:rPr>
              <w:t>NP</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1842" w:rsidRPr="00C03E15" w:rsidRDefault="00261842">
            <w:pPr>
              <w:spacing w:line="240" w:lineRule="auto"/>
              <w:rPr>
                <w:color w:val="000000"/>
                <w:sz w:val="20"/>
                <w:szCs w:val="24"/>
                <w:lang w:val="sr-Latn-RS"/>
              </w:rPr>
            </w:pPr>
          </w:p>
        </w:tc>
      </w:tr>
    </w:tbl>
    <w:p w:rsidR="00261842" w:rsidRPr="001E4CDF" w:rsidRDefault="00261842">
      <w:pPr>
        <w:pStyle w:val="ParagraphNumbering"/>
        <w:numPr>
          <w:ilvl w:val="0"/>
          <w:numId w:val="0"/>
        </w:numPr>
        <w:tabs>
          <w:tab w:val="num" w:pos="1713"/>
        </w:tabs>
        <w:spacing w:before="240" w:line="260" w:lineRule="auto"/>
        <w:jc w:val="both"/>
        <w:rPr>
          <w:b/>
          <w:lang w:val="sr-Latn-RS"/>
        </w:rPr>
      </w:pPr>
      <w:r w:rsidRPr="001E4CDF">
        <w:rPr>
          <w:lang w:val="sr-Latn-RS"/>
        </w:rPr>
        <w:t>Ovaj indikator ocenjuje ulogu parlamenta, uključujući Odbor za javne finansije, kako bi se obezbedila odgovornost i promovisanje pozitivnih promena u upravljanju javnim finansijama, kao odgovor na nalaze eksterne revizije.</w:t>
      </w:r>
    </w:p>
    <w:p w:rsidR="00261842" w:rsidRPr="001E4CDF" w:rsidRDefault="00261842">
      <w:pPr>
        <w:pStyle w:val="ParagraphNumbering"/>
        <w:numPr>
          <w:ilvl w:val="0"/>
          <w:numId w:val="0"/>
        </w:numPr>
        <w:tabs>
          <w:tab w:val="num" w:pos="1146"/>
        </w:tabs>
        <w:spacing w:before="240" w:line="260" w:lineRule="auto"/>
        <w:rPr>
          <w:b/>
          <w:lang w:val="sr-Latn-RS"/>
        </w:rPr>
      </w:pPr>
      <w:r w:rsidRPr="001E4CDF">
        <w:rPr>
          <w:b/>
          <w:lang w:val="sr-Latn-RS"/>
        </w:rPr>
        <w:t>(i) Pravovremenost razmatranja izveštaja od strane nadležnog zakonodavnog organa</w:t>
      </w:r>
    </w:p>
    <w:p w:rsidR="00261842" w:rsidRPr="001E4CDF" w:rsidRDefault="00261842">
      <w:pPr>
        <w:pStyle w:val="ParagraphNumbering"/>
        <w:numPr>
          <w:ilvl w:val="0"/>
          <w:numId w:val="0"/>
        </w:numPr>
        <w:tabs>
          <w:tab w:val="num" w:pos="1146"/>
        </w:tabs>
        <w:spacing w:before="240" w:line="260" w:lineRule="auto"/>
        <w:jc w:val="both"/>
        <w:rPr>
          <w:lang w:val="sr-Latn-RS"/>
        </w:rPr>
      </w:pPr>
      <w:r w:rsidRPr="001E4CDF">
        <w:rPr>
          <w:lang w:val="sr-Latn-RS"/>
        </w:rPr>
        <w:t>Podrazumevana ocena D</w:t>
      </w:r>
    </w:p>
    <w:p w:rsidR="00261842" w:rsidRPr="001E4CDF" w:rsidRDefault="00261842">
      <w:pPr>
        <w:pStyle w:val="ParagraphNumbering"/>
        <w:numPr>
          <w:ilvl w:val="0"/>
          <w:numId w:val="0"/>
        </w:numPr>
        <w:tabs>
          <w:tab w:val="num" w:pos="1146"/>
        </w:tabs>
        <w:spacing w:before="240" w:line="260" w:lineRule="auto"/>
        <w:jc w:val="both"/>
        <w:rPr>
          <w:b/>
          <w:lang w:val="sr-Latn-RS"/>
        </w:rPr>
      </w:pPr>
      <w:r w:rsidRPr="001E4CDF">
        <w:rPr>
          <w:b/>
          <w:lang w:val="sr-Latn-RS"/>
        </w:rPr>
        <w:t xml:space="preserve"> (</w:t>
      </w:r>
      <w:proofErr w:type="spellStart"/>
      <w:r w:rsidRPr="001E4CDF">
        <w:rPr>
          <w:b/>
          <w:lang w:val="sr-Latn-RS"/>
        </w:rPr>
        <w:t>ii</w:t>
      </w:r>
      <w:proofErr w:type="spellEnd"/>
      <w:r w:rsidRPr="001E4CDF">
        <w:rPr>
          <w:b/>
          <w:lang w:val="sr-Latn-RS"/>
        </w:rPr>
        <w:t xml:space="preserve">) Obim rasprava nadležnog zakonodavnog organa o ključnim nalazima revizije  </w:t>
      </w:r>
    </w:p>
    <w:p w:rsidR="00261842" w:rsidRPr="001E4CDF" w:rsidRDefault="00261842">
      <w:pPr>
        <w:pStyle w:val="ParagraphNumbering"/>
        <w:numPr>
          <w:ilvl w:val="0"/>
          <w:numId w:val="0"/>
        </w:numPr>
        <w:tabs>
          <w:tab w:val="num" w:pos="1146"/>
        </w:tabs>
        <w:spacing w:before="240" w:line="260" w:lineRule="auto"/>
        <w:jc w:val="both"/>
        <w:rPr>
          <w:b/>
          <w:lang w:val="sr-Latn-RS"/>
        </w:rPr>
      </w:pPr>
      <w:r w:rsidRPr="001E4CDF">
        <w:rPr>
          <w:b/>
          <w:lang w:val="sr-Latn-RS"/>
        </w:rPr>
        <w:t xml:space="preserve"> (</w:t>
      </w:r>
      <w:proofErr w:type="spellStart"/>
      <w:r w:rsidRPr="001E4CDF">
        <w:rPr>
          <w:b/>
          <w:lang w:val="sr-Latn-RS"/>
        </w:rPr>
        <w:t>iii</w:t>
      </w:r>
      <w:proofErr w:type="spellEnd"/>
      <w:r w:rsidRPr="001E4CDF">
        <w:rPr>
          <w:b/>
          <w:lang w:val="sr-Latn-RS"/>
        </w:rPr>
        <w:t>) Preporuke koje je izdao nadležni zakonodavni organ i njihovo sprovođenje od strane izvršne vlasti</w:t>
      </w:r>
    </w:p>
    <w:p w:rsidR="00261842" w:rsidRPr="001E4CDF" w:rsidRDefault="00261842">
      <w:pPr>
        <w:pStyle w:val="ParagraphNumbering"/>
        <w:numPr>
          <w:ilvl w:val="0"/>
          <w:numId w:val="0"/>
        </w:numPr>
        <w:rPr>
          <w:lang w:val="sr-Latn-RS"/>
        </w:rPr>
      </w:pPr>
    </w:p>
    <w:p w:rsidR="00261842" w:rsidRPr="00442E0D" w:rsidRDefault="00261842">
      <w:pPr>
        <w:pStyle w:val="Heading2"/>
        <w:spacing w:line="260" w:lineRule="auto"/>
        <w:ind w:left="2880"/>
        <w:jc w:val="left"/>
        <w:rPr>
          <w:rFonts w:cs="Times New Roman"/>
          <w:bCs w:val="0"/>
          <w:iCs w:val="0"/>
          <w:szCs w:val="24"/>
          <w:lang w:val="sr-Latn-RS"/>
        </w:rPr>
      </w:pPr>
      <w:bookmarkStart w:id="17" w:name="_Toc421138251"/>
      <w:r w:rsidRPr="00442E0D">
        <w:rPr>
          <w:rFonts w:cs="Times New Roman"/>
          <w:bCs w:val="0"/>
          <w:iCs w:val="0"/>
          <w:szCs w:val="24"/>
          <w:lang w:val="sr-Latn-RS"/>
        </w:rPr>
        <w:t>Donatorska praksa</w:t>
      </w:r>
      <w:bookmarkEnd w:id="17"/>
    </w:p>
    <w:p w:rsidR="00261842" w:rsidRPr="001E4CDF" w:rsidRDefault="00261842">
      <w:pPr>
        <w:spacing w:line="260" w:lineRule="auto"/>
        <w:rPr>
          <w:b/>
          <w:szCs w:val="24"/>
          <w:lang w:val="sr-Latn-RS"/>
        </w:rPr>
      </w:pPr>
      <w:r w:rsidRPr="001E4CDF">
        <w:rPr>
          <w:b/>
          <w:szCs w:val="24"/>
          <w:lang w:val="sr-Latn-RS"/>
        </w:rPr>
        <w:t xml:space="preserve">D-1 </w:t>
      </w:r>
      <w:proofErr w:type="spellStart"/>
      <w:r w:rsidRPr="001E4CDF">
        <w:rPr>
          <w:b/>
          <w:szCs w:val="24"/>
          <w:lang w:val="sr-Latn-RS"/>
        </w:rPr>
        <w:t>Predvidivost</w:t>
      </w:r>
      <w:proofErr w:type="spellEnd"/>
      <w:r w:rsidRPr="001E4CDF">
        <w:rPr>
          <w:b/>
          <w:szCs w:val="24"/>
          <w:lang w:val="sr-Latn-RS"/>
        </w:rPr>
        <w:t xml:space="preserve"> direktne budžetske podrške</w:t>
      </w:r>
    </w:p>
    <w:p w:rsidR="00261842" w:rsidRPr="001E4CDF" w:rsidRDefault="00261842">
      <w:pPr>
        <w:rPr>
          <w:szCs w:val="24"/>
          <w:lang w:val="sr-Latn-RS"/>
        </w:rPr>
      </w:pPr>
    </w:p>
    <w:tbl>
      <w:tblPr>
        <w:tblW w:w="4893" w:type="pct"/>
        <w:tblInd w:w="20" w:type="dxa"/>
        <w:tblLayout w:type="fixed"/>
        <w:tblLook w:val="0000" w:firstRow="0" w:lastRow="0" w:firstColumn="0" w:lastColumn="0" w:noHBand="0" w:noVBand="0"/>
      </w:tblPr>
      <w:tblGrid>
        <w:gridCol w:w="2889"/>
        <w:gridCol w:w="1133"/>
        <w:gridCol w:w="5000"/>
      </w:tblGrid>
      <w:tr w:rsidR="00261842" w:rsidRPr="00025057">
        <w:trPr>
          <w:trHeight w:val="293"/>
        </w:trPr>
        <w:tc>
          <w:tcPr>
            <w:tcW w:w="1601"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tabs>
                <w:tab w:val="num" w:pos="720"/>
                <w:tab w:val="num" w:pos="1146"/>
              </w:tabs>
              <w:autoSpaceDE w:val="0"/>
              <w:autoSpaceDN w:val="0"/>
              <w:adjustRightInd w:val="0"/>
              <w:spacing w:line="240" w:lineRule="auto"/>
              <w:jc w:val="both"/>
              <w:rPr>
                <w:sz w:val="20"/>
                <w:szCs w:val="24"/>
                <w:lang w:val="sr-Latn-RS"/>
              </w:rPr>
            </w:pPr>
          </w:p>
        </w:tc>
        <w:tc>
          <w:tcPr>
            <w:tcW w:w="3399" w:type="pct"/>
            <w:gridSpan w:val="2"/>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tabs>
                <w:tab w:val="num" w:pos="720"/>
                <w:tab w:val="num" w:pos="1146"/>
              </w:tabs>
              <w:autoSpaceDE w:val="0"/>
              <w:autoSpaceDN w:val="0"/>
              <w:adjustRightInd w:val="0"/>
              <w:spacing w:line="240" w:lineRule="auto"/>
              <w:jc w:val="both"/>
              <w:rPr>
                <w:szCs w:val="24"/>
                <w:lang w:val="sr-Latn-RS"/>
              </w:rPr>
            </w:pPr>
            <w:r w:rsidRPr="00C03E15">
              <w:rPr>
                <w:sz w:val="20"/>
                <w:szCs w:val="24"/>
                <w:lang w:val="sr-Latn-RS"/>
              </w:rPr>
              <w:t>Minimalni uslovi (Metod za ocenjivanje M1)</w:t>
            </w:r>
          </w:p>
        </w:tc>
      </w:tr>
      <w:tr w:rsidR="00261842" w:rsidRPr="00C03E15">
        <w:trPr>
          <w:trHeight w:val="252"/>
        </w:trPr>
        <w:tc>
          <w:tcPr>
            <w:tcW w:w="1601"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rPr>
                <w:sz w:val="20"/>
                <w:szCs w:val="24"/>
                <w:lang w:val="sr-Latn-RS"/>
              </w:rPr>
            </w:pPr>
          </w:p>
        </w:tc>
        <w:tc>
          <w:tcPr>
            <w:tcW w:w="628"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rPr>
                <w:sz w:val="20"/>
                <w:szCs w:val="24"/>
                <w:lang w:val="sr-Latn-RS"/>
              </w:rPr>
            </w:pPr>
            <w:r w:rsidRPr="00C03E15">
              <w:rPr>
                <w:sz w:val="20"/>
                <w:szCs w:val="24"/>
                <w:lang w:val="sr-Latn-RS"/>
              </w:rPr>
              <w:t>2014</w:t>
            </w:r>
          </w:p>
        </w:tc>
        <w:tc>
          <w:tcPr>
            <w:tcW w:w="2771"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60" w:lineRule="auto"/>
              <w:jc w:val="center"/>
              <w:rPr>
                <w:szCs w:val="24"/>
                <w:lang w:val="sr-Latn-RS"/>
              </w:rPr>
            </w:pPr>
            <w:r w:rsidRPr="00C03E15">
              <w:rPr>
                <w:sz w:val="20"/>
                <w:szCs w:val="24"/>
                <w:lang w:val="sr-Latn-RS"/>
              </w:rPr>
              <w:t>Objašnjenje</w:t>
            </w:r>
          </w:p>
        </w:tc>
      </w:tr>
      <w:tr w:rsidR="00261842" w:rsidRPr="00C03E15">
        <w:trPr>
          <w:trHeight w:val="252"/>
        </w:trPr>
        <w:tc>
          <w:tcPr>
            <w:tcW w:w="1601" w:type="pct"/>
            <w:tcBorders>
              <w:top w:val="single" w:sz="4" w:space="0" w:color="auto"/>
              <w:left w:val="single" w:sz="8" w:space="0" w:color="000000"/>
              <w:bottom w:val="single" w:sz="4" w:space="0" w:color="auto"/>
            </w:tcBorders>
          </w:tcPr>
          <w:p w:rsidR="00261842" w:rsidRPr="00C03E15" w:rsidRDefault="00261842">
            <w:pPr>
              <w:spacing w:line="260" w:lineRule="auto"/>
              <w:rPr>
                <w:szCs w:val="24"/>
                <w:lang w:val="sr-Latn-RS"/>
              </w:rPr>
            </w:pPr>
            <w:r w:rsidRPr="00C03E15">
              <w:rPr>
                <w:b/>
                <w:sz w:val="20"/>
                <w:szCs w:val="24"/>
                <w:lang w:val="sr-Latn-RS"/>
              </w:rPr>
              <w:t xml:space="preserve">D-1 </w:t>
            </w:r>
            <w:proofErr w:type="spellStart"/>
            <w:r w:rsidRPr="00C03E15">
              <w:rPr>
                <w:b/>
                <w:sz w:val="20"/>
                <w:szCs w:val="24"/>
                <w:lang w:val="sr-Latn-RS"/>
              </w:rPr>
              <w:t>Predvidivost</w:t>
            </w:r>
            <w:proofErr w:type="spellEnd"/>
            <w:r w:rsidRPr="00C03E15">
              <w:rPr>
                <w:b/>
                <w:sz w:val="20"/>
                <w:szCs w:val="24"/>
                <w:lang w:val="sr-Latn-RS"/>
              </w:rPr>
              <w:t xml:space="preserve"> direktne budžetske podrške</w:t>
            </w:r>
          </w:p>
        </w:tc>
        <w:tc>
          <w:tcPr>
            <w:tcW w:w="628" w:type="pct"/>
            <w:tcBorders>
              <w:top w:val="single" w:sz="4" w:space="0" w:color="auto"/>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b/>
                <w:sz w:val="20"/>
                <w:szCs w:val="24"/>
                <w:lang w:val="sr-Latn-RS"/>
              </w:rPr>
              <w:t>Ocena – nije primenjivo</w:t>
            </w:r>
          </w:p>
        </w:tc>
        <w:tc>
          <w:tcPr>
            <w:tcW w:w="2771" w:type="pct"/>
            <w:tcBorders>
              <w:top w:val="single" w:sz="4" w:space="0" w:color="auto"/>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C03E15">
        <w:trPr>
          <w:trHeight w:val="252"/>
        </w:trPr>
        <w:tc>
          <w:tcPr>
            <w:tcW w:w="1601" w:type="pct"/>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 xml:space="preserve">(i) Godišnje odstupanje stvarne budžetske podrške od projekcija donatorskih agencija datih </w:t>
            </w:r>
            <w:r w:rsidRPr="00C03E15">
              <w:rPr>
                <w:sz w:val="20"/>
                <w:szCs w:val="24"/>
                <w:lang w:val="sr-Latn-RS"/>
              </w:rPr>
              <w:lastRenderedPageBreak/>
              <w:t>najmanje šest nedelja pre nego što vlada podnese svoje predloge budžeta nadležnom zakonodavnom organu (ili ekvivalentnom organu koji ga odobrava).</w:t>
            </w:r>
          </w:p>
        </w:tc>
        <w:tc>
          <w:tcPr>
            <w:tcW w:w="628"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lastRenderedPageBreak/>
              <w:t>NP</w:t>
            </w:r>
          </w:p>
        </w:tc>
        <w:tc>
          <w:tcPr>
            <w:tcW w:w="2771" w:type="pct"/>
            <w:tcBorders>
              <w:top w:val="single" w:sz="8" w:space="0" w:color="000000"/>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1E4CDF">
        <w:trPr>
          <w:trHeight w:val="252"/>
        </w:trPr>
        <w:tc>
          <w:tcPr>
            <w:tcW w:w="1601" w:type="pct"/>
            <w:tcBorders>
              <w:top w:val="single" w:sz="4" w:space="0" w:color="auto"/>
              <w:left w:val="single" w:sz="4" w:space="0" w:color="auto"/>
              <w:bottom w:val="single" w:sz="4" w:space="0" w:color="auto"/>
              <w:right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lastRenderedPageBreak/>
              <w:t>(</w:t>
            </w:r>
            <w:proofErr w:type="spellStart"/>
            <w:r w:rsidRPr="00C03E15">
              <w:rPr>
                <w:sz w:val="20"/>
                <w:szCs w:val="24"/>
                <w:lang w:val="sr-Latn-RS"/>
              </w:rPr>
              <w:t>ii</w:t>
            </w:r>
            <w:proofErr w:type="spellEnd"/>
            <w:r w:rsidRPr="00C03E15">
              <w:rPr>
                <w:sz w:val="20"/>
                <w:szCs w:val="24"/>
                <w:lang w:val="sr-Latn-RS"/>
              </w:rPr>
              <w:t xml:space="preserve">) Pravovremenost isplata donacija u toku godine (usklađenost sa ukupnim </w:t>
            </w:r>
            <w:proofErr w:type="spellStart"/>
            <w:r w:rsidRPr="00C03E15">
              <w:rPr>
                <w:sz w:val="20"/>
                <w:szCs w:val="24"/>
                <w:lang w:val="sr-Latn-RS"/>
              </w:rPr>
              <w:t>kvartalnim</w:t>
            </w:r>
            <w:proofErr w:type="spellEnd"/>
            <w:r w:rsidRPr="00C03E15">
              <w:rPr>
                <w:sz w:val="20"/>
                <w:szCs w:val="24"/>
                <w:lang w:val="sr-Latn-RS"/>
              </w:rPr>
              <w:t xml:space="preserve"> procenama)</w:t>
            </w:r>
          </w:p>
        </w:tc>
        <w:tc>
          <w:tcPr>
            <w:tcW w:w="628"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NP</w:t>
            </w:r>
          </w:p>
        </w:tc>
        <w:tc>
          <w:tcPr>
            <w:tcW w:w="2771" w:type="pct"/>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tabs>
                <w:tab w:val="num" w:pos="720"/>
                <w:tab w:val="num" w:pos="1146"/>
              </w:tabs>
              <w:suppressAutoHyphens/>
              <w:autoSpaceDE w:val="0"/>
              <w:adjustRightInd w:val="0"/>
              <w:snapToGrid w:val="0"/>
              <w:spacing w:line="240" w:lineRule="auto"/>
              <w:jc w:val="both"/>
              <w:textAlignment w:val="baseline"/>
              <w:rPr>
                <w:rFonts w:ascii="Arial" w:hAnsi="Arial"/>
                <w:b/>
                <w:color w:val="000000"/>
                <w:sz w:val="20"/>
                <w:szCs w:val="24"/>
                <w:lang w:val="sr-Latn-RS"/>
              </w:rPr>
            </w:pPr>
          </w:p>
        </w:tc>
      </w:tr>
    </w:tbl>
    <w:p w:rsidR="00261842" w:rsidRPr="001E4CDF" w:rsidRDefault="00261842">
      <w:pPr>
        <w:tabs>
          <w:tab w:val="left" w:pos="1575"/>
        </w:tabs>
        <w:spacing w:line="240" w:lineRule="auto"/>
        <w:rPr>
          <w:b/>
          <w:szCs w:val="24"/>
          <w:lang w:val="sr-Latn-RS"/>
        </w:rPr>
      </w:pPr>
    </w:p>
    <w:p w:rsidR="00261842" w:rsidRPr="001E4CDF" w:rsidRDefault="00261842">
      <w:pPr>
        <w:pStyle w:val="ParagraphNumbering"/>
        <w:numPr>
          <w:ilvl w:val="0"/>
          <w:numId w:val="0"/>
        </w:numPr>
        <w:spacing w:line="260" w:lineRule="auto"/>
        <w:jc w:val="both"/>
        <w:rPr>
          <w:lang w:val="sr-Latn-RS"/>
        </w:rPr>
      </w:pPr>
      <w:r w:rsidRPr="001E4CDF">
        <w:rPr>
          <w:lang w:val="sr-Latn-RS"/>
        </w:rPr>
        <w:t xml:space="preserve">Ovaj indikator meri korelaciju između prognozirane direktne podrške budžetu koju obezbeđuju spoljni donator i onoga što se zaista isplaćivalo u vidu podrške budžetu tokom poslednje tri godine. Indikator razmatra godišnje odstupanje ostvarene budžetske podrške u odnosu na projekcije od strane donatora; takođe ocenjuje u kojoj meri su izdaci za budžetske podrške bili predvidivi u toku godine na </w:t>
      </w:r>
      <w:proofErr w:type="spellStart"/>
      <w:r w:rsidRPr="001E4CDF">
        <w:rPr>
          <w:lang w:val="sr-Latn-RS"/>
        </w:rPr>
        <w:t>kvartalnom</w:t>
      </w:r>
      <w:proofErr w:type="spellEnd"/>
      <w:r w:rsidRPr="001E4CDF">
        <w:rPr>
          <w:lang w:val="sr-Latn-RS"/>
        </w:rPr>
        <w:t xml:space="preserve"> nivou.</w:t>
      </w:r>
    </w:p>
    <w:p w:rsidR="00261842" w:rsidRPr="001E4CDF" w:rsidRDefault="00261842">
      <w:pPr>
        <w:pStyle w:val="ParagraphNumbering"/>
        <w:numPr>
          <w:ilvl w:val="0"/>
          <w:numId w:val="0"/>
        </w:numPr>
        <w:spacing w:line="260" w:lineRule="auto"/>
        <w:rPr>
          <w:b/>
          <w:lang w:val="sr-Latn-RS"/>
        </w:rPr>
      </w:pPr>
      <w:r w:rsidRPr="001E4CDF">
        <w:rPr>
          <w:b/>
          <w:lang w:val="sr-Latn-RS"/>
        </w:rPr>
        <w:t>(i) Godišnje odstupanje stvarne budžetske podrške od projekcija donatorskih agencija datih najmanje šest nedelja pre nego što vlada podnese svoje predloge budžeta nadležnom zakonodavnom organu (ili ekvivalentnom organu koji ga odobrava).</w:t>
      </w:r>
    </w:p>
    <w:p w:rsidR="00261842" w:rsidRPr="001E4CDF" w:rsidRDefault="00261842">
      <w:pPr>
        <w:pStyle w:val="ParagraphNumbering"/>
        <w:numPr>
          <w:ilvl w:val="0"/>
          <w:numId w:val="0"/>
        </w:numPr>
        <w:spacing w:line="260" w:lineRule="auto"/>
        <w:rPr>
          <w:lang w:val="sr-Latn-RS"/>
        </w:rPr>
      </w:pPr>
      <w:r w:rsidRPr="001E4CDF">
        <w:rPr>
          <w:lang w:val="sr-Latn-RS"/>
        </w:rPr>
        <w:t>Nema direktne podrške.  Nije primenjivo</w:t>
      </w:r>
    </w:p>
    <w:p w:rsidR="00261842" w:rsidRPr="001E4CDF" w:rsidRDefault="00261842">
      <w:pPr>
        <w:pStyle w:val="ParagraphNumbering"/>
        <w:numPr>
          <w:ilvl w:val="0"/>
          <w:numId w:val="0"/>
        </w:numPr>
        <w:spacing w:line="260" w:lineRule="auto"/>
        <w:rPr>
          <w:b/>
          <w:lang w:val="sr-Latn-RS"/>
        </w:rPr>
      </w:pPr>
      <w:r w:rsidRPr="001E4CDF">
        <w:rPr>
          <w:b/>
          <w:lang w:val="sr-Latn-RS"/>
        </w:rPr>
        <w:t>(</w:t>
      </w:r>
      <w:proofErr w:type="spellStart"/>
      <w:r w:rsidRPr="001E4CDF">
        <w:rPr>
          <w:b/>
          <w:lang w:val="sr-Latn-RS"/>
        </w:rPr>
        <w:t>ii</w:t>
      </w:r>
      <w:proofErr w:type="spellEnd"/>
      <w:r w:rsidRPr="001E4CDF">
        <w:rPr>
          <w:b/>
          <w:lang w:val="sr-Latn-RS"/>
        </w:rPr>
        <w:t xml:space="preserve">) Pravovremenost isplata donacija u toku godine (usklađenost sa ukupnim </w:t>
      </w:r>
      <w:proofErr w:type="spellStart"/>
      <w:r w:rsidRPr="001E4CDF">
        <w:rPr>
          <w:b/>
          <w:lang w:val="sr-Latn-RS"/>
        </w:rPr>
        <w:t>kvartalnim</w:t>
      </w:r>
      <w:proofErr w:type="spellEnd"/>
      <w:r w:rsidRPr="001E4CDF">
        <w:rPr>
          <w:b/>
          <w:lang w:val="sr-Latn-RS"/>
        </w:rPr>
        <w:t xml:space="preserve"> procenama)</w:t>
      </w:r>
    </w:p>
    <w:p w:rsidR="00261842" w:rsidRPr="001E4CDF" w:rsidRDefault="00261842">
      <w:pPr>
        <w:spacing w:line="260" w:lineRule="auto"/>
        <w:rPr>
          <w:b/>
          <w:szCs w:val="24"/>
          <w:lang w:val="sr-Latn-RS"/>
        </w:rPr>
      </w:pPr>
      <w:r w:rsidRPr="001E4CDF">
        <w:rPr>
          <w:b/>
          <w:szCs w:val="24"/>
          <w:lang w:val="sr-Latn-RS"/>
        </w:rPr>
        <w:t>D-2 Finansijske informacije koje dostavljaju donatori za potrebe pripreme budžeta i izveštavanja o projektima i programima</w:t>
      </w:r>
    </w:p>
    <w:p w:rsidR="00261842" w:rsidRPr="001E4CDF" w:rsidRDefault="00261842">
      <w:pPr>
        <w:rPr>
          <w:szCs w:val="24"/>
          <w:lang w:val="sr-Latn-RS"/>
        </w:rPr>
      </w:pPr>
    </w:p>
    <w:p w:rsidR="00261842" w:rsidRPr="001E4CDF" w:rsidRDefault="00261842">
      <w:pPr>
        <w:pStyle w:val="ParagraphNumbering"/>
        <w:numPr>
          <w:ilvl w:val="0"/>
          <w:numId w:val="0"/>
        </w:numPr>
        <w:spacing w:line="260" w:lineRule="auto"/>
        <w:jc w:val="both"/>
        <w:rPr>
          <w:lang w:val="sr-Latn-RS"/>
        </w:rPr>
      </w:pPr>
      <w:r w:rsidRPr="001E4CDF">
        <w:rPr>
          <w:lang w:val="sr-Latn-RS"/>
        </w:rPr>
        <w:t>Indikator meri do koje mere gradsko veće prima adekvatne finansijske informacije o donatorskim programima i projektima. Redovne i pravovremeno dobijene informacije su važne kako bi se omogućila pravilna raspodela sredstava prema prioritetima, da se uspostavi ravnoteža u distribuciji pomoći na sektorskom i teritorijalnom principu, i da se proceni uticaj tekućih troškova.</w:t>
      </w:r>
    </w:p>
    <w:tbl>
      <w:tblPr>
        <w:tblW w:w="4904" w:type="pct"/>
        <w:tblLayout w:type="fixed"/>
        <w:tblLook w:val="0000" w:firstRow="0" w:lastRow="0" w:firstColumn="0" w:lastColumn="0" w:noHBand="0" w:noVBand="0"/>
      </w:tblPr>
      <w:tblGrid>
        <w:gridCol w:w="11"/>
        <w:gridCol w:w="2881"/>
        <w:gridCol w:w="1161"/>
        <w:gridCol w:w="4852"/>
        <w:gridCol w:w="137"/>
      </w:tblGrid>
      <w:tr w:rsidR="00261842" w:rsidRPr="00025057">
        <w:trPr>
          <w:gridBefore w:val="1"/>
          <w:wBefore w:w="6" w:type="pct"/>
          <w:trHeight w:val="293"/>
        </w:trPr>
        <w:tc>
          <w:tcPr>
            <w:tcW w:w="1593" w:type="pct"/>
            <w:tcBorders>
              <w:top w:val="single" w:sz="4" w:space="0" w:color="auto"/>
              <w:left w:val="single" w:sz="4" w:space="0" w:color="auto"/>
              <w:bottom w:val="single" w:sz="4" w:space="0" w:color="auto"/>
              <w:right w:val="single" w:sz="4" w:space="0" w:color="auto"/>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both"/>
              <w:textAlignment w:val="baseline"/>
              <w:rPr>
                <w:rFonts w:ascii="Arial" w:hAnsi="Arial"/>
                <w:color w:val="000000"/>
                <w:sz w:val="20"/>
                <w:szCs w:val="24"/>
                <w:lang w:val="sr-Latn-RS"/>
              </w:rPr>
            </w:pPr>
          </w:p>
        </w:tc>
        <w:tc>
          <w:tcPr>
            <w:tcW w:w="3401" w:type="pct"/>
            <w:gridSpan w:val="3"/>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rPr>
          <w:gridAfter w:val="1"/>
          <w:wAfter w:w="76" w:type="pct"/>
          <w:trHeight w:val="252"/>
        </w:trPr>
        <w:tc>
          <w:tcPr>
            <w:tcW w:w="1599" w:type="pct"/>
            <w:gridSpan w:val="2"/>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rPr>
                <w:sz w:val="20"/>
                <w:szCs w:val="24"/>
                <w:lang w:val="sr-Latn-RS"/>
              </w:rPr>
            </w:pPr>
          </w:p>
        </w:tc>
        <w:tc>
          <w:tcPr>
            <w:tcW w:w="642"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jc w:val="center"/>
              <w:rPr>
                <w:sz w:val="20"/>
                <w:szCs w:val="24"/>
                <w:lang w:val="sr-Latn-RS"/>
              </w:rPr>
            </w:pPr>
            <w:r w:rsidRPr="00C03E15">
              <w:rPr>
                <w:sz w:val="20"/>
                <w:szCs w:val="24"/>
                <w:lang w:val="sr-Latn-RS"/>
              </w:rPr>
              <w:t>2014</w:t>
            </w:r>
          </w:p>
        </w:tc>
        <w:tc>
          <w:tcPr>
            <w:tcW w:w="2683"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60" w:lineRule="auto"/>
              <w:jc w:val="center"/>
              <w:rPr>
                <w:szCs w:val="24"/>
                <w:lang w:val="sr-Latn-RS"/>
              </w:rPr>
            </w:pPr>
            <w:r w:rsidRPr="00C03E15">
              <w:rPr>
                <w:sz w:val="20"/>
                <w:szCs w:val="24"/>
                <w:lang w:val="sr-Latn-RS"/>
              </w:rPr>
              <w:t>Objašnjenje</w:t>
            </w:r>
          </w:p>
        </w:tc>
      </w:tr>
      <w:tr w:rsidR="00261842" w:rsidRPr="00C03E15">
        <w:trPr>
          <w:gridAfter w:val="1"/>
          <w:wAfter w:w="76" w:type="pct"/>
          <w:trHeight w:val="252"/>
        </w:trPr>
        <w:tc>
          <w:tcPr>
            <w:tcW w:w="1599" w:type="pct"/>
            <w:gridSpan w:val="2"/>
            <w:tcBorders>
              <w:top w:val="single" w:sz="4" w:space="0" w:color="auto"/>
              <w:left w:val="single" w:sz="8" w:space="0" w:color="000000"/>
              <w:bottom w:val="single" w:sz="4" w:space="0" w:color="auto"/>
            </w:tcBorders>
          </w:tcPr>
          <w:p w:rsidR="00261842" w:rsidRPr="00C03E15" w:rsidRDefault="00261842">
            <w:pPr>
              <w:spacing w:line="260" w:lineRule="auto"/>
              <w:rPr>
                <w:szCs w:val="24"/>
                <w:lang w:val="sr-Latn-RS"/>
              </w:rPr>
            </w:pPr>
            <w:r w:rsidRPr="00C03E15">
              <w:rPr>
                <w:b/>
                <w:sz w:val="20"/>
                <w:szCs w:val="24"/>
                <w:lang w:val="sr-Latn-RS"/>
              </w:rPr>
              <w:t>D-2. Finansijski podaci koje dostavljaju donatori za potrebe pripreme budžeta i izveštavanja o projektima i programima</w:t>
            </w:r>
          </w:p>
        </w:tc>
        <w:tc>
          <w:tcPr>
            <w:tcW w:w="642" w:type="pct"/>
            <w:tcBorders>
              <w:top w:val="single" w:sz="4" w:space="0" w:color="auto"/>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b/>
                <w:sz w:val="20"/>
                <w:szCs w:val="24"/>
                <w:lang w:val="sr-Latn-RS"/>
              </w:rPr>
              <w:t>Ocena – nije primenjivo</w:t>
            </w:r>
          </w:p>
        </w:tc>
        <w:tc>
          <w:tcPr>
            <w:tcW w:w="2683" w:type="pct"/>
            <w:tcBorders>
              <w:top w:val="single" w:sz="4" w:space="0" w:color="auto"/>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C03E15">
        <w:trPr>
          <w:gridAfter w:val="1"/>
          <w:wAfter w:w="76" w:type="pct"/>
          <w:trHeight w:val="252"/>
        </w:trPr>
        <w:tc>
          <w:tcPr>
            <w:tcW w:w="1599" w:type="pct"/>
            <w:gridSpan w:val="2"/>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 xml:space="preserve">(i) Potpunost i pravovremenost </w:t>
            </w:r>
            <w:r w:rsidRPr="00C03E15">
              <w:rPr>
                <w:sz w:val="20"/>
                <w:szCs w:val="24"/>
                <w:lang w:val="sr-Latn-RS"/>
              </w:rPr>
              <w:lastRenderedPageBreak/>
              <w:t>budžetskih procena za podršku u vidu projekata po donatorima</w:t>
            </w:r>
          </w:p>
        </w:tc>
        <w:tc>
          <w:tcPr>
            <w:tcW w:w="642"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lastRenderedPageBreak/>
              <w:t>NP</w:t>
            </w:r>
          </w:p>
        </w:tc>
        <w:tc>
          <w:tcPr>
            <w:tcW w:w="2683" w:type="pct"/>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 w:val="20"/>
                <w:szCs w:val="24"/>
                <w:lang w:val="sr-Latn-RS"/>
              </w:rPr>
            </w:pPr>
          </w:p>
        </w:tc>
      </w:tr>
      <w:tr w:rsidR="00261842" w:rsidRPr="001E4CDF">
        <w:trPr>
          <w:gridAfter w:val="1"/>
          <w:wAfter w:w="76" w:type="pct"/>
          <w:trHeight w:val="252"/>
        </w:trPr>
        <w:tc>
          <w:tcPr>
            <w:tcW w:w="1599" w:type="pct"/>
            <w:gridSpan w:val="2"/>
            <w:tcBorders>
              <w:top w:val="single" w:sz="4" w:space="0" w:color="auto"/>
              <w:left w:val="single" w:sz="4" w:space="0" w:color="auto"/>
              <w:bottom w:val="single" w:sz="4" w:space="0" w:color="auto"/>
              <w:right w:val="single" w:sz="4" w:space="0" w:color="auto"/>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Cs w:val="24"/>
                <w:lang w:val="sr-Latn-RS"/>
              </w:rPr>
            </w:pPr>
            <w:r w:rsidRPr="00C03E15">
              <w:rPr>
                <w:sz w:val="20"/>
                <w:szCs w:val="24"/>
                <w:lang w:val="sr-Latn-RS"/>
              </w:rPr>
              <w:lastRenderedPageBreak/>
              <w:t>(</w:t>
            </w:r>
            <w:proofErr w:type="spellStart"/>
            <w:r w:rsidRPr="00C03E15">
              <w:rPr>
                <w:sz w:val="20"/>
                <w:szCs w:val="24"/>
                <w:lang w:val="sr-Latn-RS"/>
              </w:rPr>
              <w:t>ii</w:t>
            </w:r>
            <w:proofErr w:type="spellEnd"/>
            <w:r w:rsidRPr="00C03E15">
              <w:rPr>
                <w:sz w:val="20"/>
                <w:szCs w:val="24"/>
                <w:lang w:val="sr-Latn-RS"/>
              </w:rPr>
              <w:t>) Učestalost i obuhvat izveštavanja od strane donatora o realnim tokovima sredstava u okviru podrške u vidu projekata.</w:t>
            </w:r>
          </w:p>
        </w:tc>
        <w:tc>
          <w:tcPr>
            <w:tcW w:w="642"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NP</w:t>
            </w:r>
          </w:p>
        </w:tc>
        <w:tc>
          <w:tcPr>
            <w:tcW w:w="2683" w:type="pct"/>
            <w:tcBorders>
              <w:top w:val="single" w:sz="8" w:space="0" w:color="000000"/>
              <w:left w:val="single" w:sz="8" w:space="0" w:color="000000"/>
              <w:bottom w:val="single" w:sz="8" w:space="0" w:color="000000"/>
              <w:right w:val="single" w:sz="8" w:space="0" w:color="000000"/>
            </w:tcBorders>
          </w:tcPr>
          <w:p w:rsidR="00261842" w:rsidRPr="001E4CDF" w:rsidRDefault="00261842">
            <w:pPr>
              <w:widowControl w:val="0"/>
              <w:tabs>
                <w:tab w:val="num" w:pos="720"/>
                <w:tab w:val="num" w:pos="1146"/>
              </w:tabs>
              <w:suppressAutoHyphens/>
              <w:autoSpaceDE w:val="0"/>
              <w:adjustRightInd w:val="0"/>
              <w:snapToGrid w:val="0"/>
              <w:spacing w:line="240" w:lineRule="auto"/>
              <w:jc w:val="both"/>
              <w:textAlignment w:val="baseline"/>
              <w:rPr>
                <w:rFonts w:ascii="Arial" w:hAnsi="Arial"/>
                <w:b/>
                <w:color w:val="000000"/>
                <w:sz w:val="20"/>
                <w:szCs w:val="24"/>
                <w:lang w:val="sr-Latn-RS"/>
              </w:rPr>
            </w:pPr>
          </w:p>
        </w:tc>
      </w:tr>
    </w:tbl>
    <w:p w:rsidR="00261842" w:rsidRPr="001E4CDF" w:rsidRDefault="00261842">
      <w:pPr>
        <w:pStyle w:val="Default"/>
        <w:tabs>
          <w:tab w:val="num" w:pos="720"/>
          <w:tab w:val="num" w:pos="1146"/>
        </w:tabs>
        <w:spacing w:before="120"/>
        <w:rPr>
          <w:rFonts w:ascii="SimSun"/>
          <w:lang w:val="sr-Latn-RS"/>
        </w:rPr>
      </w:pPr>
      <w:r w:rsidRPr="001E4CDF">
        <w:rPr>
          <w:b/>
          <w:lang w:val="sr-Latn-RS"/>
        </w:rPr>
        <w:t xml:space="preserve">(i) Potpunost i pravovremenost budžetskih procena za podršku u vidu projekata po donatorima </w:t>
      </w:r>
    </w:p>
    <w:p w:rsidR="00261842" w:rsidRPr="001E4CDF" w:rsidRDefault="00261842">
      <w:pPr>
        <w:pStyle w:val="Default"/>
        <w:tabs>
          <w:tab w:val="num" w:pos="720"/>
          <w:tab w:val="num" w:pos="1146"/>
        </w:tabs>
        <w:rPr>
          <w:b/>
          <w:lang w:val="sr-Latn-RS"/>
        </w:rPr>
      </w:pPr>
    </w:p>
    <w:p w:rsidR="00261842" w:rsidRPr="001E4CDF" w:rsidRDefault="00261842">
      <w:pPr>
        <w:pStyle w:val="Default"/>
        <w:tabs>
          <w:tab w:val="num" w:pos="720"/>
          <w:tab w:val="num" w:pos="1146"/>
        </w:tabs>
        <w:rPr>
          <w:rFonts w:ascii="SimSun"/>
          <w:lang w:val="sr-Latn-RS"/>
        </w:rPr>
      </w:pPr>
      <w:r w:rsidRPr="001E4CDF">
        <w:rPr>
          <w:lang w:val="sr-Latn-RS"/>
        </w:rPr>
        <w:t>Opština nema projekata koje finansiraju donatori.  Nije primenjivo</w:t>
      </w:r>
    </w:p>
    <w:p w:rsidR="00261842" w:rsidRPr="001E4CDF" w:rsidRDefault="00261842">
      <w:pPr>
        <w:pStyle w:val="Default"/>
        <w:tabs>
          <w:tab w:val="num" w:pos="720"/>
          <w:tab w:val="num" w:pos="1146"/>
        </w:tabs>
        <w:spacing w:before="240" w:line="260" w:lineRule="auto"/>
        <w:rPr>
          <w:rFonts w:ascii="SimSun"/>
          <w:lang w:val="sr-Latn-RS"/>
        </w:rPr>
      </w:pPr>
      <w:r w:rsidRPr="001E4CDF">
        <w:rPr>
          <w:b/>
          <w:lang w:val="sr-Latn-RS"/>
        </w:rPr>
        <w:t>(</w:t>
      </w:r>
      <w:proofErr w:type="spellStart"/>
      <w:r w:rsidRPr="001E4CDF">
        <w:rPr>
          <w:b/>
          <w:lang w:val="sr-Latn-RS"/>
        </w:rPr>
        <w:t>ii</w:t>
      </w:r>
      <w:proofErr w:type="spellEnd"/>
      <w:r w:rsidRPr="001E4CDF">
        <w:rPr>
          <w:b/>
          <w:lang w:val="sr-Latn-RS"/>
        </w:rPr>
        <w:t xml:space="preserve">) Učestalost i obuhvat izveštavanja od strane donatora o realnim tokovima sredstava u okviru podrške u vidu projekata.  </w:t>
      </w:r>
    </w:p>
    <w:p w:rsidR="00261842" w:rsidRPr="001E4CDF" w:rsidRDefault="00261842">
      <w:pPr>
        <w:rPr>
          <w:szCs w:val="24"/>
          <w:lang w:val="sr-Latn-RS"/>
        </w:rPr>
      </w:pPr>
    </w:p>
    <w:p w:rsidR="00261842" w:rsidRPr="001E4CDF" w:rsidRDefault="00261842">
      <w:pPr>
        <w:spacing w:line="260" w:lineRule="auto"/>
        <w:rPr>
          <w:b/>
          <w:szCs w:val="24"/>
          <w:lang w:val="sr-Latn-RS"/>
        </w:rPr>
      </w:pPr>
      <w:r w:rsidRPr="001E4CDF">
        <w:rPr>
          <w:b/>
          <w:szCs w:val="24"/>
          <w:lang w:val="sr-Latn-RS"/>
        </w:rPr>
        <w:t>D-3 Deo pomoći kojim se upravlja u skladu sa nacionalnim procedurama</w:t>
      </w:r>
    </w:p>
    <w:p w:rsidR="00261842" w:rsidRPr="001E4CDF" w:rsidRDefault="00261842">
      <w:pPr>
        <w:rPr>
          <w:szCs w:val="24"/>
          <w:lang w:val="sr-Latn-RS"/>
        </w:rPr>
      </w:pPr>
    </w:p>
    <w:tbl>
      <w:tblPr>
        <w:tblW w:w="4890" w:type="pct"/>
        <w:tblInd w:w="24" w:type="dxa"/>
        <w:tblLayout w:type="fixed"/>
        <w:tblLook w:val="0000" w:firstRow="0" w:lastRow="0" w:firstColumn="0" w:lastColumn="0" w:noHBand="0" w:noVBand="0"/>
      </w:tblPr>
      <w:tblGrid>
        <w:gridCol w:w="2885"/>
        <w:gridCol w:w="1136"/>
        <w:gridCol w:w="4995"/>
      </w:tblGrid>
      <w:tr w:rsidR="00261842" w:rsidRPr="00025057">
        <w:trPr>
          <w:trHeight w:val="293"/>
        </w:trPr>
        <w:tc>
          <w:tcPr>
            <w:tcW w:w="1600" w:type="pct"/>
            <w:tcBorders>
              <w:top w:val="single" w:sz="4" w:space="0" w:color="auto"/>
              <w:left w:val="single" w:sz="4" w:space="0" w:color="auto"/>
              <w:bottom w:val="single" w:sz="4" w:space="0" w:color="auto"/>
              <w:right w:val="single" w:sz="4" w:space="0" w:color="auto"/>
            </w:tcBorders>
            <w:shd w:val="clear" w:color="auto" w:fill="D2EFFF"/>
          </w:tcPr>
          <w:p w:rsidR="00261842" w:rsidRPr="001E4CDF" w:rsidRDefault="00261842">
            <w:pPr>
              <w:widowControl w:val="0"/>
              <w:tabs>
                <w:tab w:val="num" w:pos="720"/>
                <w:tab w:val="num" w:pos="1146"/>
              </w:tabs>
              <w:suppressAutoHyphens/>
              <w:autoSpaceDE w:val="0"/>
              <w:adjustRightInd w:val="0"/>
              <w:snapToGrid w:val="0"/>
              <w:spacing w:line="240" w:lineRule="auto"/>
              <w:jc w:val="both"/>
              <w:textAlignment w:val="baseline"/>
              <w:rPr>
                <w:rFonts w:ascii="Arial" w:hAnsi="Arial"/>
                <w:color w:val="000000"/>
                <w:sz w:val="20"/>
                <w:szCs w:val="24"/>
                <w:lang w:val="sr-Latn-RS"/>
              </w:rPr>
            </w:pPr>
          </w:p>
        </w:tc>
        <w:tc>
          <w:tcPr>
            <w:tcW w:w="3400" w:type="pct"/>
            <w:gridSpan w:val="2"/>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widowControl w:val="0"/>
              <w:tabs>
                <w:tab w:val="num" w:pos="720"/>
                <w:tab w:val="num" w:pos="1146"/>
              </w:tabs>
              <w:suppressAutoHyphens/>
              <w:autoSpaceDE w:val="0"/>
              <w:adjustRightInd w:val="0"/>
              <w:snapToGrid w:val="0"/>
              <w:spacing w:line="240" w:lineRule="auto"/>
              <w:jc w:val="center"/>
              <w:textAlignment w:val="baseline"/>
              <w:rPr>
                <w:szCs w:val="24"/>
                <w:lang w:val="sr-Latn-RS"/>
              </w:rPr>
            </w:pPr>
            <w:r w:rsidRPr="00C03E15">
              <w:rPr>
                <w:color w:val="000000"/>
                <w:sz w:val="20"/>
                <w:szCs w:val="24"/>
                <w:lang w:val="sr-Latn-RS"/>
              </w:rPr>
              <w:t>Minimalni uslovi (Metod za ocenjivanje M1)</w:t>
            </w:r>
          </w:p>
        </w:tc>
      </w:tr>
      <w:tr w:rsidR="00261842" w:rsidRPr="00C03E15">
        <w:trPr>
          <w:trHeight w:val="252"/>
        </w:trPr>
        <w:tc>
          <w:tcPr>
            <w:tcW w:w="1600"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rPr>
                <w:sz w:val="20"/>
                <w:szCs w:val="24"/>
                <w:lang w:val="sr-Latn-RS"/>
              </w:rPr>
            </w:pPr>
          </w:p>
        </w:tc>
        <w:tc>
          <w:tcPr>
            <w:tcW w:w="630"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jc w:val="center"/>
              <w:rPr>
                <w:sz w:val="20"/>
                <w:szCs w:val="24"/>
                <w:lang w:val="sr-Latn-RS"/>
              </w:rPr>
            </w:pPr>
            <w:r w:rsidRPr="00C03E15">
              <w:rPr>
                <w:sz w:val="20"/>
                <w:szCs w:val="24"/>
                <w:lang w:val="sr-Latn-RS"/>
              </w:rPr>
              <w:t>2014</w:t>
            </w:r>
          </w:p>
        </w:tc>
        <w:tc>
          <w:tcPr>
            <w:tcW w:w="2771" w:type="pct"/>
            <w:tcBorders>
              <w:top w:val="single" w:sz="4" w:space="0" w:color="auto"/>
              <w:left w:val="single" w:sz="4" w:space="0" w:color="auto"/>
              <w:bottom w:val="single" w:sz="4" w:space="0" w:color="auto"/>
              <w:right w:val="single" w:sz="4" w:space="0" w:color="auto"/>
            </w:tcBorders>
            <w:shd w:val="clear" w:color="auto" w:fill="D2EFFF"/>
          </w:tcPr>
          <w:p w:rsidR="00261842" w:rsidRPr="00C03E15" w:rsidRDefault="00261842">
            <w:pPr>
              <w:spacing w:line="260" w:lineRule="auto"/>
              <w:rPr>
                <w:szCs w:val="24"/>
                <w:lang w:val="sr-Latn-RS"/>
              </w:rPr>
            </w:pPr>
            <w:r w:rsidRPr="00C03E15">
              <w:rPr>
                <w:sz w:val="20"/>
                <w:szCs w:val="24"/>
                <w:lang w:val="sr-Latn-RS"/>
              </w:rPr>
              <w:t>Objašnjenje</w:t>
            </w:r>
          </w:p>
        </w:tc>
      </w:tr>
      <w:tr w:rsidR="00261842" w:rsidRPr="00C03E15">
        <w:trPr>
          <w:trHeight w:val="252"/>
        </w:trPr>
        <w:tc>
          <w:tcPr>
            <w:tcW w:w="1600" w:type="pct"/>
            <w:tcBorders>
              <w:top w:val="single" w:sz="4" w:space="0" w:color="auto"/>
              <w:left w:val="single" w:sz="8" w:space="0" w:color="000000"/>
              <w:bottom w:val="single" w:sz="4" w:space="0" w:color="auto"/>
            </w:tcBorders>
          </w:tcPr>
          <w:p w:rsidR="00261842" w:rsidRPr="00C03E15" w:rsidRDefault="00261842">
            <w:pPr>
              <w:spacing w:line="260" w:lineRule="auto"/>
              <w:rPr>
                <w:szCs w:val="24"/>
                <w:lang w:val="sr-Latn-RS"/>
              </w:rPr>
            </w:pPr>
            <w:r w:rsidRPr="00C03E15">
              <w:rPr>
                <w:b/>
                <w:sz w:val="23"/>
                <w:szCs w:val="24"/>
                <w:lang w:val="sr-Latn-RS"/>
              </w:rPr>
              <w:t>D-3.  Deo pomoći kojim se upravlja u skladu sa nacionalnim procedurama</w:t>
            </w:r>
          </w:p>
        </w:tc>
        <w:tc>
          <w:tcPr>
            <w:tcW w:w="630" w:type="pct"/>
            <w:tcBorders>
              <w:top w:val="single" w:sz="4" w:space="0" w:color="auto"/>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b/>
                <w:sz w:val="20"/>
                <w:szCs w:val="24"/>
                <w:lang w:val="sr-Latn-RS"/>
              </w:rPr>
              <w:t>Ocena – nije primenjivo</w:t>
            </w:r>
          </w:p>
        </w:tc>
        <w:tc>
          <w:tcPr>
            <w:tcW w:w="2771" w:type="pct"/>
            <w:tcBorders>
              <w:top w:val="single" w:sz="4" w:space="0" w:color="auto"/>
              <w:left w:val="single" w:sz="8" w:space="0" w:color="000000"/>
              <w:bottom w:val="single" w:sz="8" w:space="0" w:color="000000"/>
              <w:right w:val="single" w:sz="8" w:space="0" w:color="000000"/>
            </w:tcBorders>
          </w:tcPr>
          <w:p w:rsidR="00261842" w:rsidRPr="00C03E15" w:rsidRDefault="00261842">
            <w:pPr>
              <w:rPr>
                <w:sz w:val="20"/>
                <w:szCs w:val="24"/>
                <w:lang w:val="sr-Latn-RS"/>
              </w:rPr>
            </w:pPr>
          </w:p>
        </w:tc>
      </w:tr>
      <w:tr w:rsidR="00261842" w:rsidRPr="00C03E15">
        <w:trPr>
          <w:trHeight w:val="252"/>
        </w:trPr>
        <w:tc>
          <w:tcPr>
            <w:tcW w:w="1600" w:type="pct"/>
            <w:tcBorders>
              <w:top w:val="single" w:sz="4" w:space="0" w:color="auto"/>
              <w:left w:val="single" w:sz="4" w:space="0" w:color="auto"/>
              <w:bottom w:val="single" w:sz="4" w:space="0" w:color="auto"/>
              <w:right w:val="single" w:sz="4" w:space="0" w:color="auto"/>
            </w:tcBorders>
          </w:tcPr>
          <w:p w:rsidR="00261842" w:rsidRPr="00C03E15" w:rsidRDefault="00261842">
            <w:pPr>
              <w:spacing w:line="260" w:lineRule="auto"/>
              <w:rPr>
                <w:szCs w:val="24"/>
                <w:lang w:val="sr-Latn-RS"/>
              </w:rPr>
            </w:pPr>
            <w:r w:rsidRPr="00C03E15">
              <w:rPr>
                <w:sz w:val="20"/>
                <w:szCs w:val="24"/>
                <w:lang w:val="sr-Latn-RS"/>
              </w:rPr>
              <w:t>(i) Ukupni deo sredstava za pomoć opštini  kojim se upravlja u skladu sa nacionalnim procedurama</w:t>
            </w:r>
          </w:p>
        </w:tc>
        <w:tc>
          <w:tcPr>
            <w:tcW w:w="630" w:type="pct"/>
            <w:tcBorders>
              <w:top w:val="single" w:sz="8" w:space="0" w:color="000000"/>
              <w:left w:val="single" w:sz="8" w:space="0" w:color="000000"/>
              <w:bottom w:val="single" w:sz="8" w:space="0" w:color="000000"/>
              <w:right w:val="single" w:sz="8" w:space="0" w:color="000000"/>
            </w:tcBorders>
          </w:tcPr>
          <w:p w:rsidR="00261842" w:rsidRPr="00C03E15" w:rsidRDefault="00261842">
            <w:pPr>
              <w:spacing w:line="260" w:lineRule="auto"/>
              <w:jc w:val="center"/>
              <w:rPr>
                <w:szCs w:val="24"/>
                <w:lang w:val="sr-Latn-RS"/>
              </w:rPr>
            </w:pPr>
            <w:r w:rsidRPr="00C03E15">
              <w:rPr>
                <w:sz w:val="20"/>
                <w:szCs w:val="24"/>
                <w:lang w:val="sr-Latn-RS"/>
              </w:rPr>
              <w:t>NP</w:t>
            </w:r>
          </w:p>
        </w:tc>
        <w:tc>
          <w:tcPr>
            <w:tcW w:w="2771" w:type="pct"/>
            <w:tcBorders>
              <w:top w:val="single" w:sz="8" w:space="0" w:color="000000"/>
              <w:left w:val="single" w:sz="8" w:space="0" w:color="000000"/>
              <w:bottom w:val="single" w:sz="8" w:space="0" w:color="000000"/>
              <w:right w:val="single" w:sz="8" w:space="0" w:color="000000"/>
            </w:tcBorders>
          </w:tcPr>
          <w:p w:rsidR="00261842" w:rsidRPr="00C03E15" w:rsidRDefault="00261842">
            <w:pPr>
              <w:widowControl w:val="0"/>
              <w:tabs>
                <w:tab w:val="num" w:pos="720"/>
                <w:tab w:val="num" w:pos="1146"/>
              </w:tabs>
              <w:suppressAutoHyphens/>
              <w:autoSpaceDE w:val="0"/>
              <w:adjustRightInd w:val="0"/>
              <w:snapToGrid w:val="0"/>
              <w:spacing w:line="240" w:lineRule="auto"/>
              <w:textAlignment w:val="baseline"/>
              <w:rPr>
                <w:sz w:val="20"/>
                <w:szCs w:val="24"/>
                <w:lang w:val="sr-Latn-RS"/>
              </w:rPr>
            </w:pPr>
          </w:p>
        </w:tc>
      </w:tr>
    </w:tbl>
    <w:p w:rsidR="00261842" w:rsidRPr="001E4CDF" w:rsidRDefault="00261842">
      <w:pPr>
        <w:pStyle w:val="ParagraphNumbering"/>
        <w:numPr>
          <w:ilvl w:val="0"/>
          <w:numId w:val="0"/>
        </w:numPr>
        <w:spacing w:line="260" w:lineRule="auto"/>
        <w:jc w:val="both"/>
        <w:rPr>
          <w:lang w:val="sr-Latn-RS"/>
        </w:rPr>
      </w:pPr>
      <w:r w:rsidRPr="001E4CDF">
        <w:rPr>
          <w:lang w:val="sr-Latn-RS"/>
        </w:rPr>
        <w:t>Donatorske procedure često mogu predstavljati dodatni teret na već ograničene mogućnosti nacionalnih vlasti.</w:t>
      </w:r>
      <w:r w:rsidRPr="001E4CDF">
        <w:rPr>
          <w:b/>
          <w:lang w:val="sr-Latn-RS"/>
        </w:rPr>
        <w:t xml:space="preserve"> </w:t>
      </w:r>
      <w:r w:rsidRPr="001E4CDF">
        <w:rPr>
          <w:lang w:val="sr-Latn-RS"/>
        </w:rPr>
        <w:t>Pored toga, korišćenje nacionalnih procedura pomaže da se ojačaju ove procedure. Indikator stoga pokušava da proceni stepen usklađenosti sa nacionalnim procedurama u upravljanju zvaničnom razvojnom pomoći. Nacionalne procedure se pregledaju u pogledu nabavki, plaćanja, računovodstva, revizije i izveštavanje.</w:t>
      </w:r>
    </w:p>
    <w:p w:rsidR="00261842" w:rsidRPr="001E4CDF" w:rsidRDefault="00261842">
      <w:pPr>
        <w:pStyle w:val="ParagraphNumbering"/>
        <w:numPr>
          <w:ilvl w:val="0"/>
          <w:numId w:val="0"/>
        </w:numPr>
        <w:spacing w:line="260" w:lineRule="auto"/>
        <w:jc w:val="both"/>
        <w:rPr>
          <w:b/>
          <w:lang w:val="sr-Latn-RS"/>
        </w:rPr>
      </w:pPr>
      <w:r w:rsidRPr="001E4CDF">
        <w:rPr>
          <w:b/>
          <w:lang w:val="sr-Latn-RS"/>
        </w:rPr>
        <w:t>(i) Ukupni deo sredstava za pomoć opštini  kojim se upravlja u skladu sa nacionalnim procedurama</w:t>
      </w:r>
    </w:p>
    <w:p w:rsidR="00261842" w:rsidRPr="001E4CDF" w:rsidRDefault="00261842">
      <w:pPr>
        <w:spacing w:line="240" w:lineRule="auto"/>
        <w:rPr>
          <w:szCs w:val="24"/>
          <w:lang w:val="sr-Latn-RS"/>
        </w:rPr>
      </w:pPr>
      <w:r w:rsidRPr="001E4CDF">
        <w:rPr>
          <w:szCs w:val="24"/>
          <w:lang w:val="sr-Latn-RS"/>
        </w:rPr>
        <w:t>Nije primenjivo</w:t>
      </w:r>
    </w:p>
    <w:p w:rsidR="00261842" w:rsidRPr="001E4CDF" w:rsidRDefault="00261842">
      <w:pPr>
        <w:spacing w:line="240" w:lineRule="auto"/>
        <w:rPr>
          <w:szCs w:val="24"/>
          <w:lang w:val="sr-Latn-RS"/>
        </w:rPr>
      </w:pPr>
      <w:r w:rsidRPr="001E4CDF">
        <w:rPr>
          <w:szCs w:val="24"/>
          <w:lang w:val="sr-Latn-RS"/>
        </w:rPr>
        <w:br w:type="page"/>
      </w:r>
    </w:p>
    <w:p w:rsidR="00261842" w:rsidRPr="001E4CDF" w:rsidRDefault="00261842">
      <w:pPr>
        <w:spacing w:line="240" w:lineRule="auto"/>
        <w:rPr>
          <w:szCs w:val="24"/>
          <w:lang w:val="sr-Latn-RS"/>
        </w:rPr>
      </w:pPr>
    </w:p>
    <w:p w:rsidR="00261842" w:rsidRPr="00442E0D" w:rsidRDefault="00B04D0E">
      <w:pPr>
        <w:pStyle w:val="Heading2"/>
        <w:spacing w:line="260" w:lineRule="auto"/>
        <w:rPr>
          <w:rFonts w:cs="Times New Roman"/>
          <w:bCs w:val="0"/>
          <w:iCs w:val="0"/>
          <w:szCs w:val="24"/>
          <w:lang w:val="sr-Latn-RS"/>
        </w:rPr>
      </w:pPr>
      <w:bookmarkStart w:id="18" w:name="_Toc421138252"/>
      <w:r>
        <w:rPr>
          <w:rFonts w:cs="Times New Roman"/>
          <w:bCs w:val="0"/>
          <w:iCs w:val="0"/>
          <w:szCs w:val="24"/>
          <w:lang w:val="sr-Latn-RS"/>
        </w:rPr>
        <w:t xml:space="preserve">I. </w:t>
      </w:r>
      <w:proofErr w:type="spellStart"/>
      <w:r w:rsidR="00261842" w:rsidRPr="00442E0D">
        <w:rPr>
          <w:rFonts w:cs="Times New Roman"/>
          <w:bCs w:val="0"/>
          <w:iCs w:val="0"/>
          <w:szCs w:val="24"/>
          <w:lang w:val="sr-Latn-RS"/>
        </w:rPr>
        <w:t>Aneksi</w:t>
      </w:r>
      <w:bookmarkEnd w:id="18"/>
      <w:proofErr w:type="spellEnd"/>
    </w:p>
    <w:p w:rsidR="00261842" w:rsidRPr="001E4CDF" w:rsidRDefault="00261842">
      <w:pPr>
        <w:spacing w:line="240" w:lineRule="auto"/>
        <w:rPr>
          <w:szCs w:val="24"/>
          <w:lang w:val="sr-Latn-RS"/>
        </w:rPr>
      </w:pPr>
      <w:r w:rsidRPr="001E4CDF">
        <w:rPr>
          <w:szCs w:val="24"/>
          <w:lang w:val="sr-Latn-RS"/>
        </w:rPr>
        <w:br w:type="page"/>
      </w:r>
    </w:p>
    <w:tbl>
      <w:tblPr>
        <w:tblW w:w="7960" w:type="dxa"/>
        <w:tblInd w:w="-5" w:type="dxa"/>
        <w:tblLayout w:type="fixed"/>
        <w:tblLook w:val="04A0" w:firstRow="1" w:lastRow="0" w:firstColumn="1" w:lastColumn="0" w:noHBand="0" w:noVBand="1"/>
      </w:tblPr>
      <w:tblGrid>
        <w:gridCol w:w="5642"/>
        <w:gridCol w:w="992"/>
        <w:gridCol w:w="1326"/>
      </w:tblGrid>
      <w:tr w:rsidR="00261842" w:rsidRPr="00C03E15" w:rsidTr="00442E0D">
        <w:trPr>
          <w:trHeight w:val="255"/>
        </w:trPr>
        <w:tc>
          <w:tcPr>
            <w:tcW w:w="5642"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jc w:val="right"/>
              <w:rPr>
                <w:szCs w:val="24"/>
                <w:lang w:val="sr-Latn-RS"/>
              </w:rPr>
            </w:pPr>
            <w:r w:rsidRPr="001E4CDF">
              <w:rPr>
                <w:rFonts w:ascii="Arial" w:hAnsi="Arial"/>
                <w:b/>
                <w:sz w:val="20"/>
                <w:szCs w:val="24"/>
                <w:lang w:val="sr-Latn-RS"/>
              </w:rPr>
              <w:lastRenderedPageBreak/>
              <w:t xml:space="preserve">Informacije za godinu </w:t>
            </w:r>
          </w:p>
        </w:tc>
        <w:tc>
          <w:tcPr>
            <w:tcW w:w="992" w:type="dxa"/>
            <w:tcBorders>
              <w:top w:val="single" w:sz="4" w:space="0" w:color="auto"/>
              <w:left w:val="single" w:sz="4" w:space="0" w:color="auto"/>
              <w:bottom w:val="nil"/>
              <w:right w:val="nil"/>
            </w:tcBorders>
            <w:noWrap/>
            <w:vAlign w:val="bottom"/>
            <w:hideMark/>
          </w:tcPr>
          <w:p w:rsidR="00261842" w:rsidRPr="001E4CDF" w:rsidRDefault="00261842">
            <w:pPr>
              <w:spacing w:line="240" w:lineRule="auto"/>
              <w:jc w:val="right"/>
              <w:rPr>
                <w:rFonts w:ascii="Arial" w:hAnsi="Arial"/>
                <w:b/>
                <w:sz w:val="20"/>
                <w:szCs w:val="24"/>
                <w:lang w:val="sr-Latn-RS"/>
              </w:rPr>
            </w:pPr>
            <w:r w:rsidRPr="001E4CDF">
              <w:rPr>
                <w:rFonts w:ascii="Arial" w:hAnsi="Arial"/>
                <w:b/>
                <w:sz w:val="20"/>
                <w:szCs w:val="24"/>
                <w:lang w:val="sr-Latn-RS"/>
              </w:rPr>
              <w:t>2011</w:t>
            </w:r>
          </w:p>
        </w:tc>
        <w:tc>
          <w:tcPr>
            <w:tcW w:w="1326" w:type="dxa"/>
            <w:tcBorders>
              <w:top w:val="single" w:sz="4" w:space="0" w:color="auto"/>
              <w:left w:val="nil"/>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b/>
                <w:sz w:val="20"/>
                <w:szCs w:val="24"/>
                <w:lang w:val="sr-Latn-RS"/>
              </w:rPr>
              <w:t> 000</w:t>
            </w:r>
          </w:p>
        </w:tc>
      </w:tr>
      <w:tr w:rsidR="00261842" w:rsidRPr="00C03E15" w:rsidTr="00442E0D">
        <w:trPr>
          <w:trHeight w:val="510"/>
        </w:trPr>
        <w:tc>
          <w:tcPr>
            <w:tcW w:w="5642" w:type="dxa"/>
            <w:tcBorders>
              <w:top w:val="nil"/>
              <w:left w:val="single" w:sz="4" w:space="0" w:color="auto"/>
              <w:bottom w:val="nil"/>
              <w:right w:val="single" w:sz="4" w:space="0" w:color="auto"/>
            </w:tcBorders>
            <w:noWrap/>
            <w:vAlign w:val="center"/>
            <w:hideMark/>
          </w:tcPr>
          <w:p w:rsidR="00261842" w:rsidRPr="00C03E15" w:rsidRDefault="00261842">
            <w:pPr>
              <w:spacing w:line="240" w:lineRule="auto"/>
              <w:rPr>
                <w:szCs w:val="24"/>
                <w:lang w:val="sr-Latn-RS"/>
              </w:rPr>
            </w:pPr>
            <w:r w:rsidRPr="001E4CDF">
              <w:rPr>
                <w:rFonts w:ascii="Arial" w:hAnsi="Arial"/>
                <w:sz w:val="20"/>
                <w:szCs w:val="24"/>
                <w:lang w:val="sr-Latn-RS"/>
              </w:rPr>
              <w:t>Administrativno / funkcionalna klasifikacija</w:t>
            </w:r>
          </w:p>
        </w:tc>
        <w:tc>
          <w:tcPr>
            <w:tcW w:w="992" w:type="dxa"/>
            <w:tcBorders>
              <w:top w:val="nil"/>
              <w:left w:val="single" w:sz="4" w:space="0" w:color="auto"/>
              <w:bottom w:val="nil"/>
              <w:right w:val="nil"/>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Plan</w:t>
            </w:r>
          </w:p>
        </w:tc>
        <w:tc>
          <w:tcPr>
            <w:tcW w:w="1326" w:type="dxa"/>
            <w:tcBorders>
              <w:top w:val="nil"/>
              <w:left w:val="nil"/>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Ostvareno</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Skupština, Gradonačelnik i Veće</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13310</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12029</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Opštinska uprava</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54370</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52038</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Budžetski fond za javna preduzeća, uređenje zemljišta i puteve</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119591</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69825</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Fond za razvoj poljoprivrede</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3500</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1046</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Budžetski fond za zaštitu životne sredine</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6000</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4743</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Mesne zajednice</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2500</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2597</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Javni pravobranilac</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374</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366</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Centar za socijalni rad</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200</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188</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Zdravstvo</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3700</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3577</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Kultura</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8888</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6562</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Sport</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5741</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8303</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Briga o deci</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15883</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25843</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Osnovno obrazovanje</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20238</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16617</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Srednje obrazovanje</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2080</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1672</w:t>
            </w:r>
          </w:p>
        </w:tc>
      </w:tr>
      <w:tr w:rsidR="00261842" w:rsidRPr="001E4CDF"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Turizam</w:t>
            </w:r>
          </w:p>
        </w:tc>
        <w:tc>
          <w:tcPr>
            <w:tcW w:w="992"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7078</w:t>
            </w:r>
          </w:p>
        </w:tc>
        <w:tc>
          <w:tcPr>
            <w:tcW w:w="1326"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10127</w:t>
            </w:r>
          </w:p>
        </w:tc>
      </w:tr>
      <w:tr w:rsidR="00261842" w:rsidRPr="001E4CDF" w:rsidTr="00442E0D">
        <w:trPr>
          <w:trHeight w:val="255"/>
        </w:trPr>
        <w:tc>
          <w:tcPr>
            <w:tcW w:w="5642"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Rashodi</w:t>
            </w:r>
          </w:p>
        </w:tc>
        <w:tc>
          <w:tcPr>
            <w:tcW w:w="992" w:type="dxa"/>
            <w:tcBorders>
              <w:top w:val="single" w:sz="4" w:space="0" w:color="auto"/>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263453</w:t>
            </w:r>
          </w:p>
        </w:tc>
        <w:tc>
          <w:tcPr>
            <w:tcW w:w="1326" w:type="dxa"/>
            <w:tcBorders>
              <w:top w:val="single" w:sz="4" w:space="0" w:color="auto"/>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215533</w:t>
            </w:r>
          </w:p>
        </w:tc>
      </w:tr>
      <w:tr w:rsidR="00261842" w:rsidRPr="00C03E15" w:rsidTr="00442E0D">
        <w:trPr>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Budžetske rezerve</w:t>
            </w:r>
          </w:p>
        </w:tc>
        <w:tc>
          <w:tcPr>
            <w:tcW w:w="992" w:type="dxa"/>
            <w:tcBorders>
              <w:top w:val="nil"/>
              <w:left w:val="single" w:sz="4" w:space="0" w:color="auto"/>
              <w:bottom w:val="single" w:sz="4" w:space="0" w:color="auto"/>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3500</w:t>
            </w:r>
          </w:p>
        </w:tc>
        <w:tc>
          <w:tcPr>
            <w:tcW w:w="1326" w:type="dxa"/>
            <w:tcBorders>
              <w:top w:val="nil"/>
              <w:left w:val="nil"/>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 </w:t>
            </w:r>
          </w:p>
        </w:tc>
      </w:tr>
      <w:tr w:rsidR="00261842" w:rsidRPr="001E4CDF" w:rsidTr="00442E0D">
        <w:trPr>
          <w:trHeight w:val="278"/>
        </w:trPr>
        <w:tc>
          <w:tcPr>
            <w:tcW w:w="5642" w:type="dxa"/>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Ukupno</w:t>
            </w:r>
          </w:p>
        </w:tc>
        <w:tc>
          <w:tcPr>
            <w:tcW w:w="992" w:type="dxa"/>
            <w:tcBorders>
              <w:top w:val="nil"/>
              <w:left w:val="single" w:sz="4" w:space="0" w:color="auto"/>
              <w:bottom w:val="single" w:sz="4" w:space="0" w:color="auto"/>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266953</w:t>
            </w:r>
          </w:p>
        </w:tc>
        <w:tc>
          <w:tcPr>
            <w:tcW w:w="1326" w:type="dxa"/>
            <w:tcBorders>
              <w:top w:val="nil"/>
              <w:left w:val="nil"/>
              <w:bottom w:val="single" w:sz="4" w:space="0" w:color="auto"/>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215533</w:t>
            </w:r>
          </w:p>
        </w:tc>
      </w:tr>
    </w:tbl>
    <w:p w:rsidR="00261842" w:rsidRPr="001E4CDF" w:rsidRDefault="00261842">
      <w:pPr>
        <w:spacing w:line="240" w:lineRule="auto"/>
        <w:rPr>
          <w:szCs w:val="24"/>
          <w:lang w:val="sr-Latn-RS"/>
        </w:rPr>
      </w:pPr>
    </w:p>
    <w:tbl>
      <w:tblPr>
        <w:tblW w:w="8236" w:type="dxa"/>
        <w:tblInd w:w="-5" w:type="dxa"/>
        <w:tblLayout w:type="fixed"/>
        <w:tblLook w:val="04A0" w:firstRow="1" w:lastRow="0" w:firstColumn="1" w:lastColumn="0" w:noHBand="0" w:noVBand="1"/>
      </w:tblPr>
      <w:tblGrid>
        <w:gridCol w:w="5642"/>
        <w:gridCol w:w="276"/>
        <w:gridCol w:w="716"/>
        <w:gridCol w:w="276"/>
        <w:gridCol w:w="830"/>
        <w:gridCol w:w="496"/>
      </w:tblGrid>
      <w:tr w:rsidR="00261842" w:rsidRPr="00C03E15" w:rsidTr="00442E0D">
        <w:trPr>
          <w:trHeight w:val="255"/>
        </w:trPr>
        <w:tc>
          <w:tcPr>
            <w:tcW w:w="5918" w:type="dxa"/>
            <w:gridSpan w:val="2"/>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jc w:val="right"/>
              <w:rPr>
                <w:szCs w:val="24"/>
                <w:lang w:val="sr-Latn-RS"/>
              </w:rPr>
            </w:pPr>
            <w:r w:rsidRPr="001E4CDF">
              <w:rPr>
                <w:rFonts w:ascii="Arial" w:hAnsi="Arial"/>
                <w:b/>
                <w:sz w:val="20"/>
                <w:szCs w:val="24"/>
                <w:lang w:val="sr-Latn-RS"/>
              </w:rPr>
              <w:t>Informacije za godinu</w:t>
            </w:r>
          </w:p>
        </w:tc>
        <w:tc>
          <w:tcPr>
            <w:tcW w:w="992" w:type="dxa"/>
            <w:gridSpan w:val="2"/>
            <w:tcBorders>
              <w:top w:val="single" w:sz="4" w:space="0" w:color="auto"/>
              <w:left w:val="single" w:sz="4" w:space="0" w:color="auto"/>
              <w:bottom w:val="single" w:sz="4" w:space="0" w:color="auto"/>
              <w:right w:val="nil"/>
            </w:tcBorders>
            <w:noWrap/>
            <w:vAlign w:val="bottom"/>
            <w:hideMark/>
          </w:tcPr>
          <w:p w:rsidR="00261842" w:rsidRPr="001E4CDF" w:rsidRDefault="00261842">
            <w:pPr>
              <w:spacing w:line="240" w:lineRule="auto"/>
              <w:jc w:val="right"/>
              <w:rPr>
                <w:rFonts w:ascii="Arial" w:hAnsi="Arial"/>
                <w:b/>
                <w:sz w:val="20"/>
                <w:szCs w:val="24"/>
                <w:lang w:val="sr-Latn-RS"/>
              </w:rPr>
            </w:pPr>
            <w:r w:rsidRPr="001E4CDF">
              <w:rPr>
                <w:rFonts w:ascii="Arial" w:hAnsi="Arial"/>
                <w:b/>
                <w:sz w:val="20"/>
                <w:szCs w:val="24"/>
                <w:lang w:val="sr-Latn-RS"/>
              </w:rPr>
              <w:t>2012</w:t>
            </w:r>
          </w:p>
        </w:tc>
        <w:tc>
          <w:tcPr>
            <w:tcW w:w="1326" w:type="dxa"/>
            <w:gridSpan w:val="2"/>
            <w:tcBorders>
              <w:top w:val="single" w:sz="4" w:space="0" w:color="auto"/>
              <w:left w:val="nil"/>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b/>
                <w:sz w:val="20"/>
                <w:szCs w:val="24"/>
                <w:lang w:val="sr-Latn-RS"/>
              </w:rPr>
              <w:t> 000</w:t>
            </w:r>
          </w:p>
        </w:tc>
      </w:tr>
      <w:tr w:rsidR="00261842" w:rsidRPr="00C03E15" w:rsidTr="00442E0D">
        <w:trPr>
          <w:trHeight w:val="765"/>
        </w:trPr>
        <w:tc>
          <w:tcPr>
            <w:tcW w:w="5918" w:type="dxa"/>
            <w:gridSpan w:val="2"/>
            <w:tcBorders>
              <w:top w:val="single" w:sz="4" w:space="0" w:color="auto"/>
              <w:left w:val="single" w:sz="4" w:space="0" w:color="auto"/>
              <w:bottom w:val="nil"/>
              <w:right w:val="single" w:sz="4" w:space="0" w:color="auto"/>
            </w:tcBorders>
            <w:noWrap/>
            <w:vAlign w:val="center"/>
            <w:hideMark/>
          </w:tcPr>
          <w:p w:rsidR="00261842" w:rsidRPr="00C03E15" w:rsidRDefault="00261842">
            <w:pPr>
              <w:spacing w:line="240" w:lineRule="auto"/>
              <w:rPr>
                <w:szCs w:val="24"/>
                <w:lang w:val="sr-Latn-RS"/>
              </w:rPr>
            </w:pPr>
            <w:r w:rsidRPr="001E4CDF">
              <w:rPr>
                <w:rFonts w:ascii="Arial" w:hAnsi="Arial"/>
                <w:sz w:val="20"/>
                <w:szCs w:val="24"/>
                <w:lang w:val="sr-Latn-RS"/>
              </w:rPr>
              <w:t>Administrativno / funkcionalna klasifikacija</w:t>
            </w:r>
          </w:p>
        </w:tc>
        <w:tc>
          <w:tcPr>
            <w:tcW w:w="992" w:type="dxa"/>
            <w:gridSpan w:val="2"/>
            <w:tcBorders>
              <w:top w:val="nil"/>
              <w:left w:val="single" w:sz="4" w:space="0" w:color="auto"/>
              <w:bottom w:val="nil"/>
              <w:right w:val="nil"/>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Plan</w:t>
            </w:r>
          </w:p>
        </w:tc>
        <w:tc>
          <w:tcPr>
            <w:tcW w:w="1326" w:type="dxa"/>
            <w:gridSpan w:val="2"/>
            <w:tcBorders>
              <w:top w:val="nil"/>
              <w:left w:val="nil"/>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Ostvareno</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Skupština, Gradonačelnik i Veće</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15156</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13200</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Opštinska uprava</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73668</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65764</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Budžetski fond za javna preduzeća, uređenje zemljišta i puteve</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171252</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122889</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Fond za razvoj poljoprivrede</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8200</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3989</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Budžetski fond za zaštitu životne sredine</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3904</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3538</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Mesne zajednice</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9700</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9317</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Javni pravobranilac</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393</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337</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Centar za socijalni rad</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5503</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5241</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Zdravstvo</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5532</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4687</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Javna bezbednost</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2000</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1676</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Kultura</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14170</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13176</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Sport</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6391</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10157</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Briga o deci</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18273</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27953</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Osnovno obrazovanje</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27366</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23102</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Srednje obrazovanje</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2770</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2025</w:t>
            </w:r>
          </w:p>
        </w:tc>
      </w:tr>
      <w:tr w:rsidR="00261842" w:rsidRPr="001E4CDF"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Turizam</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9343</w:t>
            </w:r>
          </w:p>
        </w:tc>
        <w:tc>
          <w:tcPr>
            <w:tcW w:w="132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11377</w:t>
            </w:r>
          </w:p>
        </w:tc>
      </w:tr>
      <w:tr w:rsidR="00261842" w:rsidRPr="001E4CDF" w:rsidTr="00442E0D">
        <w:trPr>
          <w:trHeight w:val="278"/>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Rashodi</w:t>
            </w:r>
          </w:p>
        </w:tc>
        <w:tc>
          <w:tcPr>
            <w:tcW w:w="992" w:type="dxa"/>
            <w:gridSpan w:val="2"/>
            <w:tcBorders>
              <w:top w:val="nil"/>
              <w:left w:val="single" w:sz="4" w:space="0" w:color="auto"/>
              <w:bottom w:val="nil"/>
              <w:right w:val="nil"/>
            </w:tcBorders>
            <w:noWrap/>
            <w:vAlign w:val="center"/>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367230</w:t>
            </w:r>
          </w:p>
        </w:tc>
        <w:tc>
          <w:tcPr>
            <w:tcW w:w="1326" w:type="dxa"/>
            <w:gridSpan w:val="2"/>
            <w:tcBorders>
              <w:top w:val="nil"/>
              <w:left w:val="nil"/>
              <w:bottom w:val="nil"/>
              <w:right w:val="single" w:sz="4" w:space="0" w:color="auto"/>
            </w:tcBorders>
            <w:noWrap/>
            <w:vAlign w:val="center"/>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308271</w:t>
            </w:r>
          </w:p>
        </w:tc>
      </w:tr>
      <w:tr w:rsidR="00261842" w:rsidRPr="00C03E15" w:rsidTr="00442E0D">
        <w:trPr>
          <w:trHeight w:val="255"/>
        </w:trPr>
        <w:tc>
          <w:tcPr>
            <w:tcW w:w="5918" w:type="dxa"/>
            <w:gridSpan w:val="2"/>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Budžetske rezerve</w:t>
            </w:r>
          </w:p>
        </w:tc>
        <w:tc>
          <w:tcPr>
            <w:tcW w:w="992" w:type="dxa"/>
            <w:gridSpan w:val="2"/>
            <w:tcBorders>
              <w:top w:val="nil"/>
              <w:left w:val="single" w:sz="4" w:space="0" w:color="auto"/>
              <w:bottom w:val="single" w:sz="4" w:space="0" w:color="auto"/>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3600</w:t>
            </w:r>
          </w:p>
        </w:tc>
        <w:tc>
          <w:tcPr>
            <w:tcW w:w="1326" w:type="dxa"/>
            <w:gridSpan w:val="2"/>
            <w:tcBorders>
              <w:top w:val="nil"/>
              <w:left w:val="nil"/>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 </w:t>
            </w:r>
          </w:p>
        </w:tc>
      </w:tr>
      <w:tr w:rsidR="00261842" w:rsidRPr="001E4CDF" w:rsidTr="00442E0D">
        <w:trPr>
          <w:trHeight w:val="255"/>
        </w:trPr>
        <w:tc>
          <w:tcPr>
            <w:tcW w:w="5918" w:type="dxa"/>
            <w:gridSpan w:val="2"/>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Ukupno</w:t>
            </w:r>
          </w:p>
        </w:tc>
        <w:tc>
          <w:tcPr>
            <w:tcW w:w="992" w:type="dxa"/>
            <w:gridSpan w:val="2"/>
            <w:tcBorders>
              <w:top w:val="nil"/>
              <w:left w:val="single" w:sz="4" w:space="0" w:color="auto"/>
              <w:bottom w:val="single" w:sz="4" w:space="0" w:color="auto"/>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370830</w:t>
            </w:r>
          </w:p>
        </w:tc>
        <w:tc>
          <w:tcPr>
            <w:tcW w:w="1326" w:type="dxa"/>
            <w:gridSpan w:val="2"/>
            <w:tcBorders>
              <w:top w:val="nil"/>
              <w:left w:val="nil"/>
              <w:bottom w:val="single" w:sz="4" w:space="0" w:color="auto"/>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308271</w:t>
            </w:r>
          </w:p>
        </w:tc>
      </w:tr>
      <w:tr w:rsidR="00261842" w:rsidRPr="00C03E15" w:rsidTr="00442E0D">
        <w:trPr>
          <w:gridAfter w:val="1"/>
          <w:wAfter w:w="496" w:type="dxa"/>
          <w:trHeight w:val="255"/>
        </w:trPr>
        <w:tc>
          <w:tcPr>
            <w:tcW w:w="5642"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jc w:val="right"/>
              <w:rPr>
                <w:szCs w:val="24"/>
                <w:lang w:val="sr-Latn-RS"/>
              </w:rPr>
            </w:pPr>
            <w:r w:rsidRPr="001E4CDF">
              <w:rPr>
                <w:rFonts w:ascii="Arial" w:hAnsi="Arial"/>
                <w:b/>
                <w:sz w:val="20"/>
                <w:szCs w:val="24"/>
                <w:lang w:val="sr-Latn-RS"/>
              </w:rPr>
              <w:lastRenderedPageBreak/>
              <w:t>Informacije za godinu</w:t>
            </w:r>
          </w:p>
        </w:tc>
        <w:tc>
          <w:tcPr>
            <w:tcW w:w="992" w:type="dxa"/>
            <w:gridSpan w:val="2"/>
            <w:tcBorders>
              <w:top w:val="single" w:sz="4" w:space="0" w:color="auto"/>
              <w:left w:val="single" w:sz="4" w:space="0" w:color="auto"/>
              <w:bottom w:val="nil"/>
              <w:right w:val="nil"/>
            </w:tcBorders>
            <w:noWrap/>
            <w:vAlign w:val="bottom"/>
            <w:hideMark/>
          </w:tcPr>
          <w:p w:rsidR="00261842" w:rsidRPr="001E4CDF" w:rsidRDefault="00261842">
            <w:pPr>
              <w:spacing w:line="240" w:lineRule="auto"/>
              <w:jc w:val="right"/>
              <w:rPr>
                <w:rFonts w:ascii="Arial" w:hAnsi="Arial"/>
                <w:b/>
                <w:sz w:val="20"/>
                <w:szCs w:val="24"/>
                <w:lang w:val="sr-Latn-RS"/>
              </w:rPr>
            </w:pPr>
            <w:r w:rsidRPr="001E4CDF">
              <w:rPr>
                <w:rFonts w:ascii="Arial" w:hAnsi="Arial"/>
                <w:b/>
                <w:sz w:val="20"/>
                <w:szCs w:val="24"/>
                <w:lang w:val="sr-Latn-RS"/>
              </w:rPr>
              <w:t>2013</w:t>
            </w:r>
          </w:p>
        </w:tc>
        <w:tc>
          <w:tcPr>
            <w:tcW w:w="1106" w:type="dxa"/>
            <w:gridSpan w:val="2"/>
            <w:tcBorders>
              <w:top w:val="single" w:sz="4" w:space="0" w:color="auto"/>
              <w:left w:val="nil"/>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b/>
                <w:sz w:val="20"/>
                <w:szCs w:val="24"/>
                <w:lang w:val="sr-Latn-RS"/>
              </w:rPr>
              <w:t> 000</w:t>
            </w:r>
          </w:p>
        </w:tc>
      </w:tr>
      <w:tr w:rsidR="00261842" w:rsidRPr="00C03E15" w:rsidTr="00442E0D">
        <w:trPr>
          <w:gridAfter w:val="1"/>
          <w:wAfter w:w="496" w:type="dxa"/>
          <w:trHeight w:val="765"/>
        </w:trPr>
        <w:tc>
          <w:tcPr>
            <w:tcW w:w="5642" w:type="dxa"/>
            <w:tcBorders>
              <w:top w:val="nil"/>
              <w:left w:val="single" w:sz="4" w:space="0" w:color="auto"/>
              <w:bottom w:val="nil"/>
              <w:right w:val="single" w:sz="4" w:space="0" w:color="auto"/>
            </w:tcBorders>
            <w:noWrap/>
            <w:vAlign w:val="center"/>
            <w:hideMark/>
          </w:tcPr>
          <w:p w:rsidR="00261842" w:rsidRPr="00C03E15" w:rsidRDefault="00261842">
            <w:pPr>
              <w:spacing w:line="240" w:lineRule="auto"/>
              <w:rPr>
                <w:szCs w:val="24"/>
                <w:lang w:val="sr-Latn-RS"/>
              </w:rPr>
            </w:pPr>
            <w:r w:rsidRPr="001E4CDF">
              <w:rPr>
                <w:rFonts w:ascii="Arial" w:hAnsi="Arial"/>
                <w:sz w:val="20"/>
                <w:szCs w:val="24"/>
                <w:lang w:val="sr-Latn-RS"/>
              </w:rPr>
              <w:t>Administrativno / funkcionalna klasifikacija</w:t>
            </w:r>
          </w:p>
        </w:tc>
        <w:tc>
          <w:tcPr>
            <w:tcW w:w="992" w:type="dxa"/>
            <w:gridSpan w:val="2"/>
            <w:tcBorders>
              <w:top w:val="nil"/>
              <w:left w:val="single" w:sz="4" w:space="0" w:color="auto"/>
              <w:bottom w:val="nil"/>
              <w:right w:val="nil"/>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Plan</w:t>
            </w:r>
          </w:p>
        </w:tc>
        <w:tc>
          <w:tcPr>
            <w:tcW w:w="1106" w:type="dxa"/>
            <w:gridSpan w:val="2"/>
            <w:tcBorders>
              <w:top w:val="nil"/>
              <w:left w:val="nil"/>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Ostvareno</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Skupština, Veće i Gradonačelnik</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16409</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12853</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 xml:space="preserve">Opštinska uprava </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55631</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50204</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Subvencije prevoz</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rPr>
                <w:rFonts w:ascii="Calibri" w:hAnsi="Calibri"/>
                <w:color w:val="000000"/>
                <w:szCs w:val="24"/>
                <w:lang w:val="sr-Latn-RS"/>
              </w:rPr>
            </w:pP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797</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 xml:space="preserve">Lokalni ekonomski razvoj: </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1000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173</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 xml:space="preserve">Subvencije za zapošljavanje </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640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0</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 xml:space="preserve">Izbori: </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535</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656</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Opšti poslovi</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8300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7518</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Socijalna zaštita</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8250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9678</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Kancelarija za mlade</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500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387</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Fond za javna preduzeća, uređenje zemljišta i puteve</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85270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68757</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Direkcija za izgradnju</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113353</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41864</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Ruralni razvoj</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9700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5446</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Zaštita životne sredine</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4820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3334</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Mesne zajednice</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8000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7360</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Javni pravobranilac</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420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336</w:t>
            </w:r>
          </w:p>
        </w:tc>
      </w:tr>
      <w:tr w:rsidR="00261842" w:rsidRPr="00C03E15" w:rsidTr="00442E0D">
        <w:trPr>
          <w:gridAfter w:val="1"/>
          <w:wAfter w:w="496" w:type="dxa"/>
          <w:trHeight w:val="278"/>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Centar za socijalni rad</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5560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5732</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Zdravstvo</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5333</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5017</w:t>
            </w:r>
          </w:p>
        </w:tc>
      </w:tr>
      <w:tr w:rsidR="00261842" w:rsidRPr="00C03E15"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Javna bezbednost</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2500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1731</w:t>
            </w:r>
          </w:p>
        </w:tc>
      </w:tr>
      <w:tr w:rsidR="00261842" w:rsidRPr="00C03E15" w:rsidTr="00442E0D">
        <w:trPr>
          <w:gridAfter w:val="1"/>
          <w:wAfter w:w="496" w:type="dxa"/>
          <w:trHeight w:val="278"/>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C03E15">
              <w:rPr>
                <w:rFonts w:ascii="Calibri" w:hAnsi="Calibri"/>
                <w:color w:val="000000"/>
                <w:szCs w:val="24"/>
                <w:lang w:val="sr-Latn-RS"/>
              </w:rPr>
              <w:t>Kultura</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10148</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8738</w:t>
            </w:r>
          </w:p>
        </w:tc>
      </w:tr>
      <w:tr w:rsidR="00261842" w:rsidRPr="00C03E15" w:rsidTr="00442E0D">
        <w:trPr>
          <w:gridAfter w:val="1"/>
          <w:wAfter w:w="496" w:type="dxa"/>
          <w:trHeight w:val="278"/>
        </w:trPr>
        <w:tc>
          <w:tcPr>
            <w:tcW w:w="5642" w:type="dxa"/>
            <w:tcBorders>
              <w:top w:val="nil"/>
              <w:left w:val="single" w:sz="4" w:space="0" w:color="auto"/>
              <w:bottom w:val="nil"/>
              <w:right w:val="single" w:sz="4" w:space="0" w:color="auto"/>
            </w:tcBorders>
            <w:noWrap/>
            <w:vAlign w:val="bottom"/>
          </w:tcPr>
          <w:p w:rsidR="00261842" w:rsidRPr="00C03E15" w:rsidRDefault="00261842">
            <w:pPr>
              <w:spacing w:line="240" w:lineRule="auto"/>
              <w:rPr>
                <w:szCs w:val="24"/>
                <w:lang w:val="sr-Latn-RS"/>
              </w:rPr>
            </w:pPr>
            <w:r w:rsidRPr="00C03E15">
              <w:rPr>
                <w:rFonts w:ascii="Calibri" w:hAnsi="Calibri"/>
                <w:color w:val="000000"/>
                <w:szCs w:val="24"/>
                <w:lang w:val="sr-Latn-RS"/>
              </w:rPr>
              <w:t>Sport</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16098</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13555</w:t>
            </w:r>
          </w:p>
        </w:tc>
      </w:tr>
      <w:tr w:rsidR="00261842" w:rsidRPr="00C03E15" w:rsidTr="00442E0D">
        <w:trPr>
          <w:gridAfter w:val="1"/>
          <w:wAfter w:w="496" w:type="dxa"/>
          <w:trHeight w:val="278"/>
        </w:trPr>
        <w:tc>
          <w:tcPr>
            <w:tcW w:w="5642" w:type="dxa"/>
            <w:tcBorders>
              <w:top w:val="nil"/>
              <w:left w:val="single" w:sz="4" w:space="0" w:color="auto"/>
              <w:bottom w:val="nil"/>
              <w:right w:val="single" w:sz="4" w:space="0" w:color="auto"/>
            </w:tcBorders>
            <w:noWrap/>
            <w:vAlign w:val="bottom"/>
          </w:tcPr>
          <w:p w:rsidR="00261842" w:rsidRPr="00C03E15" w:rsidRDefault="00261842">
            <w:pPr>
              <w:spacing w:line="240" w:lineRule="auto"/>
              <w:rPr>
                <w:szCs w:val="24"/>
                <w:lang w:val="sr-Latn-RS"/>
              </w:rPr>
            </w:pPr>
            <w:r w:rsidRPr="00C03E15">
              <w:rPr>
                <w:rFonts w:ascii="Calibri" w:hAnsi="Calibri"/>
                <w:color w:val="000000"/>
                <w:szCs w:val="24"/>
                <w:lang w:val="sr-Latn-RS"/>
              </w:rPr>
              <w:t>Briga o deci</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31595</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28825</w:t>
            </w:r>
          </w:p>
        </w:tc>
      </w:tr>
      <w:tr w:rsidR="00261842" w:rsidRPr="00C03E15" w:rsidTr="00442E0D">
        <w:trPr>
          <w:gridAfter w:val="1"/>
          <w:wAfter w:w="496" w:type="dxa"/>
          <w:trHeight w:val="278"/>
        </w:trPr>
        <w:tc>
          <w:tcPr>
            <w:tcW w:w="5642" w:type="dxa"/>
            <w:tcBorders>
              <w:top w:val="nil"/>
              <w:left w:val="single" w:sz="4" w:space="0" w:color="auto"/>
              <w:bottom w:val="nil"/>
              <w:right w:val="single" w:sz="4" w:space="0" w:color="auto"/>
            </w:tcBorders>
            <w:noWrap/>
            <w:vAlign w:val="bottom"/>
          </w:tcPr>
          <w:p w:rsidR="00261842" w:rsidRPr="00C03E15" w:rsidRDefault="00261842">
            <w:pPr>
              <w:spacing w:line="240" w:lineRule="auto"/>
              <w:rPr>
                <w:szCs w:val="24"/>
                <w:lang w:val="sr-Latn-RS"/>
              </w:rPr>
            </w:pPr>
            <w:r w:rsidRPr="00C03E15">
              <w:rPr>
                <w:rFonts w:ascii="Calibri" w:hAnsi="Calibri"/>
                <w:color w:val="000000"/>
                <w:szCs w:val="24"/>
                <w:lang w:val="sr-Latn-RS"/>
              </w:rPr>
              <w:t>Osnovno obrazovanje</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24211</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19967</w:t>
            </w:r>
          </w:p>
        </w:tc>
      </w:tr>
      <w:tr w:rsidR="00261842" w:rsidRPr="00C03E15" w:rsidTr="00442E0D">
        <w:trPr>
          <w:gridAfter w:val="1"/>
          <w:wAfter w:w="496" w:type="dxa"/>
          <w:trHeight w:val="278"/>
        </w:trPr>
        <w:tc>
          <w:tcPr>
            <w:tcW w:w="5642" w:type="dxa"/>
            <w:tcBorders>
              <w:top w:val="nil"/>
              <w:left w:val="single" w:sz="4" w:space="0" w:color="auto"/>
              <w:bottom w:val="nil"/>
              <w:right w:val="single" w:sz="4" w:space="0" w:color="auto"/>
            </w:tcBorders>
            <w:noWrap/>
            <w:vAlign w:val="bottom"/>
          </w:tcPr>
          <w:p w:rsidR="00261842" w:rsidRPr="00C03E15" w:rsidRDefault="00261842">
            <w:pPr>
              <w:spacing w:line="240" w:lineRule="auto"/>
              <w:rPr>
                <w:szCs w:val="24"/>
                <w:lang w:val="sr-Latn-RS"/>
              </w:rPr>
            </w:pPr>
            <w:r w:rsidRPr="00C03E15">
              <w:rPr>
                <w:rFonts w:ascii="Calibri" w:hAnsi="Calibri"/>
                <w:color w:val="000000"/>
                <w:szCs w:val="24"/>
                <w:lang w:val="sr-Latn-RS"/>
              </w:rPr>
              <w:t>Srednje obrazovanje</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2230</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1621</w:t>
            </w:r>
          </w:p>
        </w:tc>
      </w:tr>
      <w:tr w:rsidR="00261842" w:rsidRPr="00C03E15" w:rsidTr="00442E0D">
        <w:trPr>
          <w:gridAfter w:val="1"/>
          <w:wAfter w:w="496" w:type="dxa"/>
          <w:trHeight w:val="278"/>
        </w:trPr>
        <w:tc>
          <w:tcPr>
            <w:tcW w:w="5642" w:type="dxa"/>
            <w:tcBorders>
              <w:top w:val="nil"/>
              <w:left w:val="single" w:sz="4" w:space="0" w:color="auto"/>
              <w:bottom w:val="nil"/>
              <w:right w:val="single" w:sz="4" w:space="0" w:color="auto"/>
            </w:tcBorders>
            <w:noWrap/>
            <w:vAlign w:val="bottom"/>
          </w:tcPr>
          <w:p w:rsidR="00261842" w:rsidRPr="00C03E15" w:rsidRDefault="00261842">
            <w:pPr>
              <w:spacing w:line="240" w:lineRule="auto"/>
              <w:rPr>
                <w:szCs w:val="24"/>
                <w:lang w:val="sr-Latn-RS"/>
              </w:rPr>
            </w:pPr>
            <w:r w:rsidRPr="00C03E15">
              <w:rPr>
                <w:rFonts w:ascii="Calibri" w:hAnsi="Calibri"/>
                <w:color w:val="000000"/>
                <w:szCs w:val="24"/>
                <w:lang w:val="sr-Latn-RS"/>
              </w:rPr>
              <w:t>Turizam</w:t>
            </w:r>
          </w:p>
        </w:tc>
        <w:tc>
          <w:tcPr>
            <w:tcW w:w="992" w:type="dxa"/>
            <w:gridSpan w:val="2"/>
            <w:tcBorders>
              <w:top w:val="nil"/>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11731</w:t>
            </w:r>
          </w:p>
        </w:tc>
        <w:tc>
          <w:tcPr>
            <w:tcW w:w="1106" w:type="dxa"/>
            <w:gridSpan w:val="2"/>
            <w:tcBorders>
              <w:top w:val="nil"/>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12821</w:t>
            </w:r>
          </w:p>
        </w:tc>
      </w:tr>
      <w:tr w:rsidR="00261842" w:rsidRPr="00C03E15" w:rsidTr="00442E0D">
        <w:trPr>
          <w:gridAfter w:val="1"/>
          <w:wAfter w:w="496" w:type="dxa"/>
          <w:trHeight w:val="255"/>
        </w:trPr>
        <w:tc>
          <w:tcPr>
            <w:tcW w:w="5642" w:type="dxa"/>
            <w:tcBorders>
              <w:top w:val="single" w:sz="4" w:space="0" w:color="auto"/>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Rashodi</w:t>
            </w:r>
          </w:p>
        </w:tc>
        <w:tc>
          <w:tcPr>
            <w:tcW w:w="992" w:type="dxa"/>
            <w:gridSpan w:val="2"/>
            <w:tcBorders>
              <w:top w:val="single" w:sz="4" w:space="0" w:color="auto"/>
              <w:left w:val="single" w:sz="4" w:space="0" w:color="auto"/>
              <w:bottom w:val="nil"/>
              <w:right w:val="nil"/>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422234</w:t>
            </w:r>
          </w:p>
        </w:tc>
        <w:tc>
          <w:tcPr>
            <w:tcW w:w="1106" w:type="dxa"/>
            <w:gridSpan w:val="2"/>
            <w:tcBorders>
              <w:top w:val="single" w:sz="4" w:space="0" w:color="auto"/>
              <w:left w:val="nil"/>
              <w:bottom w:val="nil"/>
              <w:right w:val="single" w:sz="4" w:space="0" w:color="auto"/>
            </w:tcBorders>
            <w:noWrap/>
            <w:vAlign w:val="bottom"/>
          </w:tcPr>
          <w:p w:rsidR="00261842" w:rsidRPr="00C03E15" w:rsidRDefault="00261842">
            <w:pPr>
              <w:spacing w:line="240" w:lineRule="auto"/>
              <w:jc w:val="right"/>
              <w:rPr>
                <w:rFonts w:ascii="Calibri" w:hAnsi="Calibri"/>
                <w:color w:val="000000"/>
                <w:sz w:val="22"/>
                <w:szCs w:val="24"/>
                <w:lang w:val="sr-Latn-RS"/>
              </w:rPr>
            </w:pPr>
            <w:r w:rsidRPr="00C03E15">
              <w:rPr>
                <w:rFonts w:ascii="Calibri" w:hAnsi="Calibri"/>
                <w:color w:val="000000"/>
                <w:sz w:val="22"/>
                <w:szCs w:val="24"/>
                <w:lang w:val="sr-Latn-RS"/>
              </w:rPr>
              <w:t>307370</w:t>
            </w:r>
          </w:p>
        </w:tc>
      </w:tr>
      <w:tr w:rsidR="00261842" w:rsidRPr="001E4CDF" w:rsidTr="00442E0D">
        <w:trPr>
          <w:gridAfter w:val="1"/>
          <w:wAfter w:w="496" w:type="dxa"/>
          <w:trHeight w:val="255"/>
        </w:trPr>
        <w:tc>
          <w:tcPr>
            <w:tcW w:w="5642"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Budžetske rezerve</w:t>
            </w:r>
          </w:p>
        </w:tc>
        <w:tc>
          <w:tcPr>
            <w:tcW w:w="992" w:type="dxa"/>
            <w:gridSpan w:val="2"/>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5500</w:t>
            </w:r>
          </w:p>
        </w:tc>
        <w:tc>
          <w:tcPr>
            <w:tcW w:w="1106" w:type="dxa"/>
            <w:gridSpan w:val="2"/>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p>
        </w:tc>
      </w:tr>
      <w:tr w:rsidR="00261842" w:rsidRPr="001E4CDF" w:rsidTr="00442E0D">
        <w:trPr>
          <w:gridAfter w:val="1"/>
          <w:wAfter w:w="496" w:type="dxa"/>
          <w:trHeight w:val="255"/>
        </w:trPr>
        <w:tc>
          <w:tcPr>
            <w:tcW w:w="5642" w:type="dxa"/>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Ukupno</w:t>
            </w:r>
          </w:p>
        </w:tc>
        <w:tc>
          <w:tcPr>
            <w:tcW w:w="992" w:type="dxa"/>
            <w:gridSpan w:val="2"/>
            <w:tcBorders>
              <w:top w:val="single" w:sz="4" w:space="0" w:color="auto"/>
              <w:left w:val="single" w:sz="4" w:space="0" w:color="auto"/>
              <w:bottom w:val="single" w:sz="4" w:space="0" w:color="auto"/>
              <w:right w:val="nil"/>
            </w:tcBorders>
            <w:noWrap/>
            <w:vAlign w:val="bottom"/>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427734</w:t>
            </w:r>
          </w:p>
        </w:tc>
        <w:tc>
          <w:tcPr>
            <w:tcW w:w="1106" w:type="dxa"/>
            <w:gridSpan w:val="2"/>
            <w:tcBorders>
              <w:top w:val="single" w:sz="4" w:space="0" w:color="auto"/>
              <w:left w:val="nil"/>
              <w:bottom w:val="single" w:sz="4" w:space="0" w:color="auto"/>
              <w:right w:val="single" w:sz="4" w:space="0" w:color="auto"/>
            </w:tcBorders>
            <w:noWrap/>
            <w:vAlign w:val="bottom"/>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307734</w:t>
            </w:r>
          </w:p>
        </w:tc>
      </w:tr>
    </w:tbl>
    <w:p w:rsidR="00261842" w:rsidRPr="001E4CDF" w:rsidRDefault="00261842">
      <w:pPr>
        <w:rPr>
          <w:szCs w:val="24"/>
          <w:lang w:val="sr-Latn-RS"/>
        </w:rPr>
      </w:pPr>
    </w:p>
    <w:p w:rsidR="00261842" w:rsidRPr="001E4CDF" w:rsidRDefault="00261842">
      <w:pPr>
        <w:spacing w:line="240" w:lineRule="auto"/>
        <w:rPr>
          <w:szCs w:val="24"/>
          <w:lang w:val="sr-Latn-RS"/>
        </w:rPr>
      </w:pPr>
      <w:r w:rsidRPr="001E4CDF">
        <w:rPr>
          <w:szCs w:val="24"/>
          <w:lang w:val="sr-Latn-RS"/>
        </w:rPr>
        <w:br w:type="page"/>
      </w:r>
    </w:p>
    <w:tbl>
      <w:tblPr>
        <w:tblW w:w="4840" w:type="dxa"/>
        <w:tblInd w:w="-5" w:type="dxa"/>
        <w:tblLayout w:type="fixed"/>
        <w:tblLook w:val="04A0" w:firstRow="1" w:lastRow="0" w:firstColumn="1" w:lastColumn="0" w:noHBand="0" w:noVBand="1"/>
      </w:tblPr>
      <w:tblGrid>
        <w:gridCol w:w="2740"/>
        <w:gridCol w:w="920"/>
        <w:gridCol w:w="1180"/>
      </w:tblGrid>
      <w:tr w:rsidR="00261842" w:rsidRPr="00C03E15">
        <w:trPr>
          <w:trHeight w:val="255"/>
        </w:trPr>
        <w:tc>
          <w:tcPr>
            <w:tcW w:w="2740" w:type="dxa"/>
            <w:tcBorders>
              <w:top w:val="single" w:sz="4" w:space="0" w:color="auto"/>
              <w:left w:val="single" w:sz="4" w:space="0" w:color="auto"/>
              <w:bottom w:val="nil"/>
              <w:right w:val="single" w:sz="4" w:space="0" w:color="auto"/>
            </w:tcBorders>
            <w:noWrap/>
            <w:vAlign w:val="bottom"/>
            <w:hideMark/>
          </w:tcPr>
          <w:p w:rsidR="00261842" w:rsidRPr="00C03E15" w:rsidRDefault="00261842" w:rsidP="007B4B69">
            <w:pPr>
              <w:spacing w:line="240" w:lineRule="auto"/>
              <w:jc w:val="right"/>
              <w:rPr>
                <w:szCs w:val="24"/>
                <w:lang w:val="sr-Latn-RS"/>
              </w:rPr>
            </w:pPr>
            <w:r w:rsidRPr="001E4CDF">
              <w:rPr>
                <w:rFonts w:ascii="Arial" w:hAnsi="Arial"/>
                <w:b/>
                <w:sz w:val="20"/>
                <w:szCs w:val="24"/>
                <w:lang w:val="sr-Latn-RS"/>
              </w:rPr>
              <w:lastRenderedPageBreak/>
              <w:t>HLG-1 (</w:t>
            </w:r>
            <w:proofErr w:type="spellStart"/>
            <w:r w:rsidRPr="001E4CDF">
              <w:rPr>
                <w:rFonts w:ascii="Arial" w:hAnsi="Arial"/>
                <w:b/>
                <w:sz w:val="20"/>
                <w:szCs w:val="24"/>
                <w:lang w:val="sr-Latn-RS"/>
              </w:rPr>
              <w:t>ii</w:t>
            </w:r>
            <w:proofErr w:type="spellEnd"/>
            <w:r w:rsidRPr="001E4CDF">
              <w:rPr>
                <w:rFonts w:ascii="Arial" w:hAnsi="Arial"/>
                <w:b/>
                <w:sz w:val="20"/>
                <w:szCs w:val="24"/>
                <w:lang w:val="sr-Latn-RS"/>
              </w:rPr>
              <w:t>)</w:t>
            </w:r>
          </w:p>
        </w:tc>
        <w:tc>
          <w:tcPr>
            <w:tcW w:w="920" w:type="dxa"/>
            <w:tcBorders>
              <w:top w:val="single" w:sz="4" w:space="0" w:color="auto"/>
              <w:left w:val="single" w:sz="4" w:space="0" w:color="auto"/>
              <w:bottom w:val="nil"/>
              <w:right w:val="nil"/>
            </w:tcBorders>
            <w:noWrap/>
            <w:vAlign w:val="bottom"/>
            <w:hideMark/>
          </w:tcPr>
          <w:p w:rsidR="00261842" w:rsidRPr="001E4CDF" w:rsidRDefault="00261842">
            <w:pPr>
              <w:spacing w:line="240" w:lineRule="auto"/>
              <w:jc w:val="right"/>
              <w:rPr>
                <w:rFonts w:ascii="Arial" w:hAnsi="Arial"/>
                <w:b/>
                <w:sz w:val="20"/>
                <w:szCs w:val="24"/>
                <w:lang w:val="sr-Latn-RS"/>
              </w:rPr>
            </w:pPr>
            <w:r w:rsidRPr="001E4CDF">
              <w:rPr>
                <w:rFonts w:ascii="Arial" w:hAnsi="Arial"/>
                <w:b/>
                <w:sz w:val="20"/>
                <w:szCs w:val="24"/>
                <w:lang w:val="sr-Latn-RS"/>
              </w:rPr>
              <w:t>2011</w:t>
            </w:r>
          </w:p>
        </w:tc>
        <w:tc>
          <w:tcPr>
            <w:tcW w:w="1180" w:type="dxa"/>
            <w:tcBorders>
              <w:top w:val="single" w:sz="4" w:space="0" w:color="auto"/>
              <w:left w:val="nil"/>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b/>
                <w:sz w:val="20"/>
                <w:szCs w:val="24"/>
                <w:lang w:val="sr-Latn-RS"/>
              </w:rPr>
              <w:t> </w:t>
            </w:r>
          </w:p>
        </w:tc>
      </w:tr>
      <w:tr w:rsidR="00261842" w:rsidRPr="00C03E15">
        <w:trPr>
          <w:trHeight w:val="510"/>
        </w:trPr>
        <w:tc>
          <w:tcPr>
            <w:tcW w:w="2740" w:type="dxa"/>
            <w:tcBorders>
              <w:top w:val="nil"/>
              <w:left w:val="single" w:sz="4" w:space="0" w:color="auto"/>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sz w:val="20"/>
                <w:szCs w:val="24"/>
                <w:lang w:val="sr-Latn-RS"/>
              </w:rPr>
              <w:t>Administrativno / funkcionalna klasifikacija</w:t>
            </w:r>
          </w:p>
        </w:tc>
        <w:tc>
          <w:tcPr>
            <w:tcW w:w="920" w:type="dxa"/>
            <w:tcBorders>
              <w:top w:val="nil"/>
              <w:left w:val="single" w:sz="4" w:space="0" w:color="auto"/>
              <w:bottom w:val="nil"/>
              <w:right w:val="nil"/>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Plan</w:t>
            </w:r>
          </w:p>
        </w:tc>
        <w:tc>
          <w:tcPr>
            <w:tcW w:w="1180" w:type="dxa"/>
            <w:tcBorders>
              <w:top w:val="nil"/>
              <w:left w:val="nil"/>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Ostvareno</w:t>
            </w:r>
          </w:p>
        </w:tc>
      </w:tr>
      <w:tr w:rsidR="00261842" w:rsidRPr="001E4CDF">
        <w:trPr>
          <w:trHeight w:val="255"/>
        </w:trPr>
        <w:tc>
          <w:tcPr>
            <w:tcW w:w="2740"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Tekuće</w:t>
            </w:r>
          </w:p>
        </w:tc>
        <w:tc>
          <w:tcPr>
            <w:tcW w:w="920"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25749</w:t>
            </w:r>
          </w:p>
        </w:tc>
        <w:tc>
          <w:tcPr>
            <w:tcW w:w="1180"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13882</w:t>
            </w:r>
          </w:p>
        </w:tc>
      </w:tr>
      <w:tr w:rsidR="00261842" w:rsidRPr="001E4CDF">
        <w:trPr>
          <w:trHeight w:val="255"/>
        </w:trPr>
        <w:tc>
          <w:tcPr>
            <w:tcW w:w="2740"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Kapitalno</w:t>
            </w:r>
          </w:p>
        </w:tc>
        <w:tc>
          <w:tcPr>
            <w:tcW w:w="920"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26259</w:t>
            </w:r>
          </w:p>
        </w:tc>
        <w:tc>
          <w:tcPr>
            <w:tcW w:w="1180"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1750</w:t>
            </w:r>
          </w:p>
        </w:tc>
      </w:tr>
      <w:tr w:rsidR="00261842" w:rsidRPr="001E4CDF">
        <w:trPr>
          <w:trHeight w:val="255"/>
        </w:trPr>
        <w:tc>
          <w:tcPr>
            <w:tcW w:w="2740"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Transferi HLG-1 (i)</w:t>
            </w:r>
          </w:p>
        </w:tc>
        <w:tc>
          <w:tcPr>
            <w:tcW w:w="920"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174282</w:t>
            </w:r>
          </w:p>
        </w:tc>
        <w:tc>
          <w:tcPr>
            <w:tcW w:w="1180"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158407</w:t>
            </w:r>
          </w:p>
        </w:tc>
      </w:tr>
      <w:tr w:rsidR="00261842" w:rsidRPr="00C03E15">
        <w:trPr>
          <w:trHeight w:val="518"/>
        </w:trPr>
        <w:tc>
          <w:tcPr>
            <w:tcW w:w="2740" w:type="dxa"/>
            <w:tcBorders>
              <w:top w:val="nil"/>
              <w:left w:val="single" w:sz="4" w:space="0" w:color="auto"/>
              <w:bottom w:val="nil"/>
              <w:right w:val="single" w:sz="4" w:space="0" w:color="auto"/>
            </w:tcBorders>
            <w:noWrap/>
            <w:vAlign w:val="bottom"/>
          </w:tcPr>
          <w:p w:rsidR="00261842" w:rsidRPr="001E4CDF" w:rsidRDefault="00261842">
            <w:pPr>
              <w:spacing w:line="240" w:lineRule="auto"/>
              <w:rPr>
                <w:rFonts w:ascii="Arial" w:hAnsi="Arial"/>
                <w:b/>
                <w:sz w:val="20"/>
                <w:szCs w:val="24"/>
                <w:lang w:val="sr-Latn-RS"/>
              </w:rPr>
            </w:pPr>
          </w:p>
        </w:tc>
        <w:tc>
          <w:tcPr>
            <w:tcW w:w="920" w:type="dxa"/>
            <w:tcBorders>
              <w:top w:val="single" w:sz="4" w:space="0" w:color="auto"/>
              <w:left w:val="single" w:sz="4" w:space="0" w:color="auto"/>
              <w:bottom w:val="nil"/>
              <w:right w:val="nil"/>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 </w:t>
            </w:r>
          </w:p>
        </w:tc>
        <w:tc>
          <w:tcPr>
            <w:tcW w:w="1180" w:type="dxa"/>
            <w:tcBorders>
              <w:top w:val="single" w:sz="4" w:space="0" w:color="auto"/>
              <w:left w:val="nil"/>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 </w:t>
            </w:r>
          </w:p>
        </w:tc>
      </w:tr>
      <w:tr w:rsidR="00261842" w:rsidRPr="00C03E15">
        <w:trPr>
          <w:trHeight w:val="255"/>
        </w:trPr>
        <w:tc>
          <w:tcPr>
            <w:tcW w:w="2740" w:type="dxa"/>
            <w:tcBorders>
              <w:top w:val="nil"/>
              <w:left w:val="single" w:sz="4" w:space="0" w:color="auto"/>
              <w:bottom w:val="single" w:sz="4" w:space="0" w:color="auto"/>
              <w:right w:val="single" w:sz="4" w:space="0" w:color="auto"/>
            </w:tcBorders>
            <w:noWrap/>
            <w:vAlign w:val="bottom"/>
          </w:tcPr>
          <w:p w:rsidR="00261842" w:rsidRPr="001E4CDF" w:rsidRDefault="00261842">
            <w:pPr>
              <w:spacing w:line="240" w:lineRule="auto"/>
              <w:jc w:val="right"/>
              <w:rPr>
                <w:rFonts w:ascii="Arial" w:hAnsi="Arial"/>
                <w:b/>
                <w:sz w:val="20"/>
                <w:szCs w:val="24"/>
                <w:lang w:val="sr-Latn-RS"/>
              </w:rPr>
            </w:pPr>
          </w:p>
        </w:tc>
        <w:tc>
          <w:tcPr>
            <w:tcW w:w="920" w:type="dxa"/>
            <w:tcBorders>
              <w:top w:val="nil"/>
              <w:left w:val="single" w:sz="4" w:space="0" w:color="auto"/>
              <w:bottom w:val="single" w:sz="4" w:space="0" w:color="auto"/>
              <w:right w:val="nil"/>
            </w:tcBorders>
            <w:noWrap/>
            <w:vAlign w:val="bottom"/>
            <w:hideMark/>
          </w:tcPr>
          <w:p w:rsidR="00261842" w:rsidRPr="001E4CDF" w:rsidRDefault="00261842">
            <w:pPr>
              <w:spacing w:line="240" w:lineRule="auto"/>
              <w:jc w:val="right"/>
              <w:rPr>
                <w:rFonts w:ascii="Arial" w:hAnsi="Arial"/>
                <w:b/>
                <w:sz w:val="20"/>
                <w:szCs w:val="24"/>
                <w:lang w:val="sr-Latn-RS"/>
              </w:rPr>
            </w:pPr>
            <w:r w:rsidRPr="001E4CDF">
              <w:rPr>
                <w:rFonts w:ascii="Arial" w:hAnsi="Arial"/>
                <w:b/>
                <w:sz w:val="20"/>
                <w:szCs w:val="24"/>
                <w:lang w:val="sr-Latn-RS"/>
              </w:rPr>
              <w:t>2012</w:t>
            </w:r>
          </w:p>
        </w:tc>
        <w:tc>
          <w:tcPr>
            <w:tcW w:w="1180" w:type="dxa"/>
            <w:tcBorders>
              <w:top w:val="nil"/>
              <w:left w:val="nil"/>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b/>
                <w:sz w:val="20"/>
                <w:szCs w:val="24"/>
                <w:lang w:val="sr-Latn-RS"/>
              </w:rPr>
              <w:t> </w:t>
            </w:r>
          </w:p>
        </w:tc>
      </w:tr>
      <w:tr w:rsidR="00261842" w:rsidRPr="00C03E15">
        <w:trPr>
          <w:trHeight w:val="510"/>
        </w:trPr>
        <w:tc>
          <w:tcPr>
            <w:tcW w:w="2740" w:type="dxa"/>
            <w:tcBorders>
              <w:top w:val="nil"/>
              <w:left w:val="single" w:sz="4" w:space="0" w:color="auto"/>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sz w:val="20"/>
                <w:szCs w:val="24"/>
                <w:lang w:val="sr-Latn-RS"/>
              </w:rPr>
              <w:t>Administrativno / funkcionalna klasifikacija</w:t>
            </w:r>
          </w:p>
        </w:tc>
        <w:tc>
          <w:tcPr>
            <w:tcW w:w="920" w:type="dxa"/>
            <w:tcBorders>
              <w:top w:val="nil"/>
              <w:left w:val="single" w:sz="4" w:space="0" w:color="auto"/>
              <w:bottom w:val="nil"/>
              <w:right w:val="nil"/>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Plan</w:t>
            </w:r>
          </w:p>
        </w:tc>
        <w:tc>
          <w:tcPr>
            <w:tcW w:w="1180" w:type="dxa"/>
            <w:tcBorders>
              <w:top w:val="nil"/>
              <w:left w:val="nil"/>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Ostvareno</w:t>
            </w:r>
          </w:p>
        </w:tc>
      </w:tr>
      <w:tr w:rsidR="00261842" w:rsidRPr="001E4CDF">
        <w:trPr>
          <w:trHeight w:val="255"/>
        </w:trPr>
        <w:tc>
          <w:tcPr>
            <w:tcW w:w="2740"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Tekuće</w:t>
            </w:r>
          </w:p>
        </w:tc>
        <w:tc>
          <w:tcPr>
            <w:tcW w:w="920"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48547</w:t>
            </w:r>
          </w:p>
        </w:tc>
        <w:tc>
          <w:tcPr>
            <w:tcW w:w="1180"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24260</w:t>
            </w:r>
          </w:p>
        </w:tc>
      </w:tr>
      <w:tr w:rsidR="00261842" w:rsidRPr="001E4CDF">
        <w:trPr>
          <w:trHeight w:val="255"/>
        </w:trPr>
        <w:tc>
          <w:tcPr>
            <w:tcW w:w="2740"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Kapitalno</w:t>
            </w:r>
          </w:p>
        </w:tc>
        <w:tc>
          <w:tcPr>
            <w:tcW w:w="920"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2600</w:t>
            </w:r>
          </w:p>
        </w:tc>
        <w:tc>
          <w:tcPr>
            <w:tcW w:w="1180"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1300</w:t>
            </w:r>
          </w:p>
        </w:tc>
      </w:tr>
      <w:tr w:rsidR="00261842" w:rsidRPr="001E4CDF">
        <w:trPr>
          <w:trHeight w:val="255"/>
        </w:trPr>
        <w:tc>
          <w:tcPr>
            <w:tcW w:w="2740"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Transferi HLG-1 (i)</w:t>
            </w:r>
          </w:p>
        </w:tc>
        <w:tc>
          <w:tcPr>
            <w:tcW w:w="920"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263659</w:t>
            </w:r>
          </w:p>
        </w:tc>
        <w:tc>
          <w:tcPr>
            <w:tcW w:w="1180"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253704</w:t>
            </w:r>
          </w:p>
        </w:tc>
      </w:tr>
      <w:tr w:rsidR="00261842" w:rsidRPr="00C03E15">
        <w:trPr>
          <w:trHeight w:val="518"/>
        </w:trPr>
        <w:tc>
          <w:tcPr>
            <w:tcW w:w="2740" w:type="dxa"/>
            <w:tcBorders>
              <w:top w:val="nil"/>
              <w:left w:val="single" w:sz="4" w:space="0" w:color="auto"/>
              <w:bottom w:val="nil"/>
              <w:right w:val="single" w:sz="4" w:space="0" w:color="auto"/>
            </w:tcBorders>
            <w:noWrap/>
            <w:vAlign w:val="bottom"/>
          </w:tcPr>
          <w:p w:rsidR="00261842" w:rsidRPr="001E4CDF" w:rsidRDefault="00261842">
            <w:pPr>
              <w:spacing w:line="240" w:lineRule="auto"/>
              <w:rPr>
                <w:rFonts w:ascii="Arial" w:hAnsi="Arial"/>
                <w:b/>
                <w:sz w:val="20"/>
                <w:szCs w:val="24"/>
                <w:lang w:val="sr-Latn-RS"/>
              </w:rPr>
            </w:pPr>
          </w:p>
        </w:tc>
        <w:tc>
          <w:tcPr>
            <w:tcW w:w="920" w:type="dxa"/>
            <w:tcBorders>
              <w:top w:val="nil"/>
              <w:left w:val="single" w:sz="4" w:space="0" w:color="auto"/>
              <w:bottom w:val="nil"/>
              <w:right w:val="nil"/>
            </w:tcBorders>
            <w:noWrap/>
            <w:vAlign w:val="bottom"/>
            <w:hideMark/>
          </w:tcPr>
          <w:p w:rsidR="00261842" w:rsidRPr="001E4CDF" w:rsidRDefault="00261842">
            <w:pPr>
              <w:spacing w:line="240" w:lineRule="auto"/>
              <w:rPr>
                <w:rFonts w:ascii="Arial" w:hAnsi="Arial"/>
                <w:b/>
                <w:sz w:val="20"/>
                <w:szCs w:val="24"/>
                <w:lang w:val="sr-Latn-RS"/>
              </w:rPr>
            </w:pPr>
          </w:p>
        </w:tc>
        <w:tc>
          <w:tcPr>
            <w:tcW w:w="1180" w:type="dxa"/>
            <w:tcBorders>
              <w:top w:val="nil"/>
              <w:left w:val="nil"/>
              <w:bottom w:val="nil"/>
              <w:right w:val="single" w:sz="4" w:space="0" w:color="auto"/>
            </w:tcBorders>
            <w:noWrap/>
            <w:vAlign w:val="bottom"/>
            <w:hideMark/>
          </w:tcPr>
          <w:p w:rsidR="00261842" w:rsidRPr="00C03E15" w:rsidRDefault="00261842">
            <w:pPr>
              <w:spacing w:line="240" w:lineRule="auto"/>
              <w:rPr>
                <w:sz w:val="20"/>
                <w:szCs w:val="24"/>
                <w:lang w:val="sr-Latn-RS"/>
              </w:rPr>
            </w:pPr>
          </w:p>
        </w:tc>
      </w:tr>
      <w:tr w:rsidR="00261842" w:rsidRPr="00C03E15">
        <w:trPr>
          <w:trHeight w:val="255"/>
        </w:trPr>
        <w:tc>
          <w:tcPr>
            <w:tcW w:w="2740" w:type="dxa"/>
            <w:tcBorders>
              <w:top w:val="single" w:sz="4" w:space="0" w:color="auto"/>
              <w:left w:val="single" w:sz="4" w:space="0" w:color="auto"/>
              <w:bottom w:val="nil"/>
              <w:right w:val="single" w:sz="4" w:space="0" w:color="auto"/>
            </w:tcBorders>
            <w:noWrap/>
            <w:vAlign w:val="bottom"/>
          </w:tcPr>
          <w:p w:rsidR="00261842" w:rsidRPr="001E4CDF" w:rsidRDefault="00261842">
            <w:pPr>
              <w:spacing w:line="240" w:lineRule="auto"/>
              <w:jc w:val="right"/>
              <w:rPr>
                <w:rFonts w:ascii="Arial" w:hAnsi="Arial"/>
                <w:b/>
                <w:sz w:val="20"/>
                <w:szCs w:val="24"/>
                <w:lang w:val="sr-Latn-RS"/>
              </w:rPr>
            </w:pPr>
          </w:p>
        </w:tc>
        <w:tc>
          <w:tcPr>
            <w:tcW w:w="920" w:type="dxa"/>
            <w:tcBorders>
              <w:top w:val="single" w:sz="4" w:space="0" w:color="auto"/>
              <w:left w:val="single" w:sz="4" w:space="0" w:color="auto"/>
              <w:bottom w:val="nil"/>
              <w:right w:val="nil"/>
            </w:tcBorders>
            <w:noWrap/>
            <w:vAlign w:val="bottom"/>
            <w:hideMark/>
          </w:tcPr>
          <w:p w:rsidR="00261842" w:rsidRPr="001E4CDF" w:rsidRDefault="00261842">
            <w:pPr>
              <w:spacing w:line="240" w:lineRule="auto"/>
              <w:jc w:val="right"/>
              <w:rPr>
                <w:rFonts w:ascii="Arial" w:hAnsi="Arial"/>
                <w:b/>
                <w:sz w:val="20"/>
                <w:szCs w:val="24"/>
                <w:lang w:val="sr-Latn-RS"/>
              </w:rPr>
            </w:pPr>
            <w:r w:rsidRPr="001E4CDF">
              <w:rPr>
                <w:rFonts w:ascii="Arial" w:hAnsi="Arial"/>
                <w:b/>
                <w:sz w:val="20"/>
                <w:szCs w:val="24"/>
                <w:lang w:val="sr-Latn-RS"/>
              </w:rPr>
              <w:t>2013</w:t>
            </w:r>
          </w:p>
        </w:tc>
        <w:tc>
          <w:tcPr>
            <w:tcW w:w="1180" w:type="dxa"/>
            <w:tcBorders>
              <w:top w:val="single" w:sz="4" w:space="0" w:color="auto"/>
              <w:left w:val="nil"/>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b/>
                <w:sz w:val="20"/>
                <w:szCs w:val="24"/>
                <w:lang w:val="sr-Latn-RS"/>
              </w:rPr>
              <w:t> </w:t>
            </w:r>
          </w:p>
        </w:tc>
      </w:tr>
      <w:tr w:rsidR="00261842" w:rsidRPr="00C03E15">
        <w:trPr>
          <w:trHeight w:val="510"/>
        </w:trPr>
        <w:tc>
          <w:tcPr>
            <w:tcW w:w="2740" w:type="dxa"/>
            <w:tcBorders>
              <w:top w:val="nil"/>
              <w:left w:val="single" w:sz="4" w:space="0" w:color="auto"/>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sz w:val="20"/>
                <w:szCs w:val="24"/>
                <w:lang w:val="sr-Latn-RS"/>
              </w:rPr>
              <w:t>Administrativno / funkcionalna klasifikacija</w:t>
            </w:r>
          </w:p>
        </w:tc>
        <w:tc>
          <w:tcPr>
            <w:tcW w:w="920" w:type="dxa"/>
            <w:tcBorders>
              <w:top w:val="nil"/>
              <w:left w:val="single" w:sz="4" w:space="0" w:color="auto"/>
              <w:bottom w:val="nil"/>
              <w:right w:val="nil"/>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Plan</w:t>
            </w:r>
          </w:p>
        </w:tc>
        <w:tc>
          <w:tcPr>
            <w:tcW w:w="1180" w:type="dxa"/>
            <w:tcBorders>
              <w:top w:val="nil"/>
              <w:left w:val="nil"/>
              <w:bottom w:val="nil"/>
              <w:right w:val="single" w:sz="4" w:space="0" w:color="auto"/>
            </w:tcBorders>
            <w:noWrap/>
            <w:vAlign w:val="center"/>
            <w:hideMark/>
          </w:tcPr>
          <w:p w:rsidR="00261842" w:rsidRPr="00C03E15" w:rsidRDefault="00261842">
            <w:pPr>
              <w:spacing w:line="240" w:lineRule="auto"/>
              <w:jc w:val="center"/>
              <w:rPr>
                <w:szCs w:val="24"/>
                <w:lang w:val="sr-Latn-RS"/>
              </w:rPr>
            </w:pPr>
            <w:r w:rsidRPr="001E4CDF">
              <w:rPr>
                <w:rFonts w:ascii="Arial" w:hAnsi="Arial"/>
                <w:b/>
                <w:sz w:val="20"/>
                <w:szCs w:val="24"/>
                <w:lang w:val="sr-Latn-RS"/>
              </w:rPr>
              <w:t>Ostvareno</w:t>
            </w:r>
          </w:p>
        </w:tc>
      </w:tr>
      <w:tr w:rsidR="00261842" w:rsidRPr="001E4CDF">
        <w:trPr>
          <w:trHeight w:val="255"/>
        </w:trPr>
        <w:tc>
          <w:tcPr>
            <w:tcW w:w="2740"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Tekuće</w:t>
            </w:r>
          </w:p>
        </w:tc>
        <w:tc>
          <w:tcPr>
            <w:tcW w:w="920"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81730</w:t>
            </w:r>
          </w:p>
        </w:tc>
        <w:tc>
          <w:tcPr>
            <w:tcW w:w="1180"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69347</w:t>
            </w:r>
          </w:p>
        </w:tc>
      </w:tr>
      <w:tr w:rsidR="00261842" w:rsidRPr="001E4CDF">
        <w:trPr>
          <w:trHeight w:val="255"/>
        </w:trPr>
        <w:tc>
          <w:tcPr>
            <w:tcW w:w="2740" w:type="dxa"/>
            <w:tcBorders>
              <w:top w:val="nil"/>
              <w:left w:val="single" w:sz="4" w:space="0" w:color="auto"/>
              <w:bottom w:val="nil"/>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Kapitalno</w:t>
            </w:r>
          </w:p>
        </w:tc>
        <w:tc>
          <w:tcPr>
            <w:tcW w:w="920" w:type="dxa"/>
            <w:tcBorders>
              <w:top w:val="nil"/>
              <w:left w:val="single" w:sz="4" w:space="0" w:color="auto"/>
              <w:bottom w:val="nil"/>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178553</w:t>
            </w:r>
          </w:p>
        </w:tc>
        <w:tc>
          <w:tcPr>
            <w:tcW w:w="1180" w:type="dxa"/>
            <w:tcBorders>
              <w:top w:val="nil"/>
              <w:left w:val="nil"/>
              <w:bottom w:val="nil"/>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184898</w:t>
            </w:r>
          </w:p>
        </w:tc>
      </w:tr>
      <w:tr w:rsidR="00261842" w:rsidRPr="001E4CDF">
        <w:trPr>
          <w:trHeight w:val="255"/>
        </w:trPr>
        <w:tc>
          <w:tcPr>
            <w:tcW w:w="2740" w:type="dxa"/>
            <w:tcBorders>
              <w:top w:val="nil"/>
              <w:left w:val="single" w:sz="4" w:space="0" w:color="auto"/>
              <w:bottom w:val="single" w:sz="4" w:space="0" w:color="auto"/>
              <w:right w:val="single" w:sz="4" w:space="0" w:color="auto"/>
            </w:tcBorders>
            <w:noWrap/>
            <w:vAlign w:val="bottom"/>
            <w:hideMark/>
          </w:tcPr>
          <w:p w:rsidR="00261842" w:rsidRPr="00C03E15" w:rsidRDefault="00261842">
            <w:pPr>
              <w:spacing w:line="240" w:lineRule="auto"/>
              <w:rPr>
                <w:szCs w:val="24"/>
                <w:lang w:val="sr-Latn-RS"/>
              </w:rPr>
            </w:pPr>
            <w:r w:rsidRPr="001E4CDF">
              <w:rPr>
                <w:rFonts w:ascii="Arial" w:hAnsi="Arial"/>
                <w:sz w:val="20"/>
                <w:szCs w:val="24"/>
                <w:lang w:val="sr-Latn-RS"/>
              </w:rPr>
              <w:t>Transferi HLG-1 (i)</w:t>
            </w:r>
          </w:p>
        </w:tc>
        <w:tc>
          <w:tcPr>
            <w:tcW w:w="920" w:type="dxa"/>
            <w:tcBorders>
              <w:top w:val="nil"/>
              <w:left w:val="single" w:sz="4" w:space="0" w:color="auto"/>
              <w:bottom w:val="single" w:sz="4" w:space="0" w:color="auto"/>
              <w:right w:val="nil"/>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260283</w:t>
            </w:r>
          </w:p>
        </w:tc>
        <w:tc>
          <w:tcPr>
            <w:tcW w:w="1180" w:type="dxa"/>
            <w:tcBorders>
              <w:top w:val="nil"/>
              <w:left w:val="nil"/>
              <w:bottom w:val="single" w:sz="4" w:space="0" w:color="auto"/>
              <w:right w:val="single" w:sz="4" w:space="0" w:color="auto"/>
            </w:tcBorders>
            <w:noWrap/>
            <w:vAlign w:val="bottom"/>
            <w:hideMark/>
          </w:tcPr>
          <w:p w:rsidR="00261842" w:rsidRPr="001E4CDF" w:rsidRDefault="00261842">
            <w:pPr>
              <w:spacing w:line="240" w:lineRule="auto"/>
              <w:jc w:val="right"/>
              <w:rPr>
                <w:rFonts w:ascii="Arial" w:hAnsi="Arial"/>
                <w:sz w:val="20"/>
                <w:szCs w:val="24"/>
                <w:lang w:val="sr-Latn-RS"/>
              </w:rPr>
            </w:pPr>
            <w:r w:rsidRPr="001E4CDF">
              <w:rPr>
                <w:rFonts w:ascii="Arial" w:hAnsi="Arial"/>
                <w:sz w:val="20"/>
                <w:szCs w:val="24"/>
                <w:lang w:val="sr-Latn-RS"/>
              </w:rPr>
              <w:t>254245</w:t>
            </w:r>
          </w:p>
        </w:tc>
      </w:tr>
    </w:tbl>
    <w:p w:rsidR="00261842" w:rsidRPr="001E4CDF" w:rsidRDefault="00261842">
      <w:pPr>
        <w:rPr>
          <w:szCs w:val="24"/>
          <w:lang w:val="sr-Latn-RS"/>
        </w:rPr>
      </w:pPr>
    </w:p>
    <w:p w:rsidR="00261842" w:rsidRPr="001E4CDF" w:rsidRDefault="00261842">
      <w:pPr>
        <w:spacing w:line="240" w:lineRule="auto"/>
        <w:rPr>
          <w:szCs w:val="24"/>
          <w:lang w:val="sr-Latn-RS"/>
        </w:rPr>
      </w:pPr>
      <w:r w:rsidRPr="001E4CDF">
        <w:rPr>
          <w:szCs w:val="24"/>
          <w:lang w:val="sr-Latn-RS"/>
        </w:rPr>
        <w:br w:type="page"/>
      </w:r>
    </w:p>
    <w:p w:rsidR="00261842" w:rsidRPr="001E4CDF" w:rsidRDefault="00261842">
      <w:pPr>
        <w:spacing w:line="260" w:lineRule="auto"/>
        <w:rPr>
          <w:szCs w:val="24"/>
          <w:lang w:val="sr-Latn-RS"/>
        </w:rPr>
      </w:pPr>
      <w:r w:rsidRPr="001E4CDF">
        <w:rPr>
          <w:szCs w:val="24"/>
          <w:lang w:val="sr-Latn-RS"/>
        </w:rPr>
        <w:lastRenderedPageBreak/>
        <w:t>Imena i funkcije državnih zvaničnika koji su konsultovani</w:t>
      </w:r>
    </w:p>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Gradonačelnik</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Nenad Stevanović</w:t>
      </w:r>
    </w:p>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Rukovodilac Opštinske uprave</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Milan Urošević</w:t>
      </w:r>
    </w:p>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Skupština opštine</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 xml:space="preserve">Zlatija </w:t>
      </w:r>
      <w:proofErr w:type="spellStart"/>
      <w:r w:rsidRPr="001E4CDF">
        <w:rPr>
          <w:szCs w:val="24"/>
          <w:lang w:val="sr-Latn-RS"/>
        </w:rPr>
        <w:t>Miličić</w:t>
      </w:r>
      <w:proofErr w:type="spellEnd"/>
      <w:r w:rsidRPr="001E4CDF">
        <w:rPr>
          <w:szCs w:val="24"/>
          <w:lang w:val="sr-Latn-RS"/>
        </w:rPr>
        <w:t>, Predsednik Skupštine</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Dane Krsmanović, Sekretar Skupštine</w:t>
      </w:r>
    </w:p>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Odeljenje za budžet, privredu i javne službe</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Vesna Pavlović, Načelnik Odeljenja</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Marko Matić, stručni saradnik za trezor i finansije</w:t>
      </w:r>
    </w:p>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Odeljenje za opštu upravu</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Snežana Milošević, Načelnik (takođe zadužena za javne nabavke, socijalnu zaštitu i ljudske resurse)</w:t>
      </w:r>
    </w:p>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Služba za poresku administraciju</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Marko Manojlović, saradnik</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Biljana Nedeljković, saradnik</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Radmila Radulović, šef službe</w:t>
      </w:r>
    </w:p>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Direkcija za izgradnju i infrastrukturu „</w:t>
      </w:r>
      <w:proofErr w:type="spellStart"/>
      <w:r w:rsidRPr="001E4CDF">
        <w:rPr>
          <w:szCs w:val="24"/>
          <w:lang w:val="sr-Latn-RS"/>
        </w:rPr>
        <w:t>Jadar</w:t>
      </w:r>
      <w:proofErr w:type="spellEnd"/>
      <w:r w:rsidRPr="001E4CDF">
        <w:rPr>
          <w:szCs w:val="24"/>
          <w:lang w:val="sr-Latn-RS"/>
        </w:rPr>
        <w:t>“</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 xml:space="preserve">Danka </w:t>
      </w:r>
      <w:proofErr w:type="spellStart"/>
      <w:r w:rsidRPr="001E4CDF">
        <w:rPr>
          <w:szCs w:val="24"/>
          <w:lang w:val="sr-Latn-RS"/>
        </w:rPr>
        <w:t>Stanimirović</w:t>
      </w:r>
      <w:proofErr w:type="spellEnd"/>
      <w:r w:rsidRPr="001E4CDF">
        <w:rPr>
          <w:szCs w:val="24"/>
          <w:lang w:val="sr-Latn-RS"/>
        </w:rPr>
        <w:t>, saradnik za privredu, budžet i lična primanja zaposlenih</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Milorad Marković, službenik za javne nabavke</w:t>
      </w:r>
    </w:p>
    <w:p w:rsidR="00261842" w:rsidRPr="001E4CDF" w:rsidRDefault="00261842">
      <w:pPr>
        <w:rPr>
          <w:szCs w:val="24"/>
          <w:lang w:val="sr-Latn-RS"/>
        </w:rPr>
      </w:pPr>
    </w:p>
    <w:p w:rsidR="00261842" w:rsidRPr="001E4CDF" w:rsidRDefault="00261842">
      <w:pPr>
        <w:spacing w:line="260" w:lineRule="auto"/>
        <w:rPr>
          <w:szCs w:val="24"/>
          <w:lang w:val="sr-Latn-RS"/>
        </w:rPr>
      </w:pPr>
      <w:r w:rsidRPr="001E4CDF">
        <w:rPr>
          <w:szCs w:val="24"/>
          <w:lang w:val="sr-Latn-RS"/>
        </w:rPr>
        <w:t>Regionalna privredna komora</w:t>
      </w:r>
    </w:p>
    <w:p w:rsidR="00261842" w:rsidRPr="001E4CDF" w:rsidRDefault="00261842">
      <w:pPr>
        <w:pStyle w:val="ListParagraph"/>
        <w:numPr>
          <w:ilvl w:val="0"/>
          <w:numId w:val="26"/>
        </w:numPr>
        <w:spacing w:line="260" w:lineRule="auto"/>
        <w:rPr>
          <w:szCs w:val="24"/>
          <w:lang w:val="sr-Latn-RS"/>
        </w:rPr>
      </w:pPr>
      <w:r w:rsidRPr="001E4CDF">
        <w:rPr>
          <w:szCs w:val="24"/>
          <w:lang w:val="sr-Latn-RS"/>
        </w:rPr>
        <w:t>Petar Nikolić, potpredsednik</w:t>
      </w:r>
    </w:p>
    <w:p w:rsidR="00261842" w:rsidRPr="001E4CDF" w:rsidRDefault="00261842">
      <w:pPr>
        <w:pStyle w:val="ListParagraph"/>
        <w:numPr>
          <w:ilvl w:val="0"/>
          <w:numId w:val="26"/>
        </w:numPr>
        <w:spacing w:line="240" w:lineRule="auto"/>
        <w:rPr>
          <w:szCs w:val="24"/>
          <w:lang w:val="sr-Latn-RS"/>
        </w:rPr>
      </w:pPr>
      <w:r w:rsidRPr="001E4CDF">
        <w:rPr>
          <w:szCs w:val="24"/>
          <w:lang w:val="sr-Latn-RS"/>
        </w:rPr>
        <w:t>Mirjana Đorđević, generalni sekretar</w:t>
      </w:r>
    </w:p>
    <w:sectPr w:rsidR="00261842" w:rsidRPr="001E4CDF">
      <w:headerReference w:type="default" r:id="rId10"/>
      <w:footerReference w:type="default" r:id="rId11"/>
      <w:pgSz w:w="12240" w:h="15840" w:code="1"/>
      <w:pgMar w:top="1440" w:right="1440"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AE" w:rsidRDefault="00BF0CAE">
      <w:pPr>
        <w:rPr>
          <w:szCs w:val="24"/>
        </w:rPr>
      </w:pPr>
      <w:r>
        <w:rPr>
          <w:szCs w:val="24"/>
        </w:rPr>
        <w:separator/>
      </w:r>
    </w:p>
    <w:p w:rsidR="00BF0CAE" w:rsidRDefault="00BF0CAE">
      <w:pPr>
        <w:rPr>
          <w:szCs w:val="24"/>
        </w:rPr>
      </w:pPr>
    </w:p>
    <w:p w:rsidR="00BF0CAE" w:rsidRDefault="00BF0CAE">
      <w:pPr>
        <w:rPr>
          <w:szCs w:val="24"/>
        </w:rPr>
      </w:pPr>
    </w:p>
  </w:endnote>
  <w:endnote w:type="continuationSeparator" w:id="0">
    <w:p w:rsidR="00BF0CAE" w:rsidRDefault="00BF0CAE">
      <w:pPr>
        <w:rPr>
          <w:szCs w:val="24"/>
        </w:rPr>
      </w:pPr>
      <w:r>
        <w:rPr>
          <w:szCs w:val="24"/>
        </w:rPr>
        <w:continuationSeparator/>
      </w:r>
    </w:p>
    <w:p w:rsidR="00BF0CAE" w:rsidRDefault="00BF0CAE">
      <w:pPr>
        <w:rPr>
          <w:szCs w:val="24"/>
        </w:rPr>
      </w:pPr>
    </w:p>
    <w:p w:rsidR="00BF0CAE" w:rsidRDefault="00BF0CAE">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CE">
    <w:altName w:val="Arial"/>
    <w:panose1 w:val="00000000000000000000"/>
    <w:charset w:val="EE"/>
    <w:family w:val="swiss"/>
    <w:notTrueType/>
    <w:pitch w:val="variable"/>
    <w:sig w:usb0="00000005" w:usb1="00000000" w:usb2="00000000" w:usb3="00000000" w:csb0="00000002" w:csb1="00000000"/>
  </w:font>
  <w:font w:name="MS Shell Dlg">
    <w:panose1 w:val="020B0604020202020204"/>
    <w:charset w:val="00"/>
    <w:family w:val="swiss"/>
    <w:pitch w:val="variable"/>
    <w:sig w:usb0="E1002AFF" w:usb1="C0000002" w:usb2="00000008" w:usb3="00000000" w:csb0="0001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15" w:rsidRDefault="00C03E15">
    <w:pPr>
      <w:pStyle w:val="Footer"/>
      <w:jc w:val="center"/>
      <w:rPr>
        <w:szCs w:val="24"/>
      </w:rPr>
    </w:pPr>
    <w:r>
      <w:rPr>
        <w:szCs w:val="24"/>
      </w:rPr>
      <w:fldChar w:fldCharType="begin"/>
    </w:r>
    <w:r>
      <w:rPr>
        <w:szCs w:val="24"/>
      </w:rPr>
      <w:instrText xml:space="preserve"> PAGE   \* MERGEFORMAT </w:instrText>
    </w:r>
    <w:r>
      <w:rPr>
        <w:szCs w:val="24"/>
      </w:rPr>
      <w:fldChar w:fldCharType="separate"/>
    </w:r>
    <w:r w:rsidR="00025057">
      <w:rPr>
        <w:noProof/>
        <w:szCs w:val="24"/>
      </w:rPr>
      <w:t>67</w:t>
    </w:r>
    <w:r>
      <w:rPr>
        <w:szCs w:val="24"/>
      </w:rPr>
      <w:fldChar w:fldCharType="end"/>
    </w:r>
  </w:p>
  <w:p w:rsidR="00C03E15" w:rsidRDefault="00C03E15">
    <w:pPr>
      <w:pStyle w:val="Footer"/>
      <w:jc w:val="center"/>
      <w:rPr>
        <w:szCs w:val="24"/>
      </w:rPr>
    </w:pPr>
  </w:p>
  <w:p w:rsidR="00C03E15" w:rsidRDefault="00C03E15">
    <w:pPr>
      <w:rPr>
        <w:szCs w:val="24"/>
      </w:rPr>
    </w:pPr>
  </w:p>
  <w:p w:rsidR="00C03E15" w:rsidRDefault="00C03E15">
    <w:pP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AE" w:rsidRDefault="00BF0CAE">
      <w:pPr>
        <w:rPr>
          <w:szCs w:val="24"/>
        </w:rPr>
      </w:pPr>
      <w:r>
        <w:rPr>
          <w:szCs w:val="24"/>
        </w:rPr>
        <w:separator/>
      </w:r>
    </w:p>
    <w:p w:rsidR="00BF0CAE" w:rsidRDefault="00BF0CAE">
      <w:pPr>
        <w:rPr>
          <w:szCs w:val="24"/>
        </w:rPr>
      </w:pPr>
    </w:p>
    <w:p w:rsidR="00BF0CAE" w:rsidRDefault="00BF0CAE">
      <w:pPr>
        <w:rPr>
          <w:szCs w:val="24"/>
        </w:rPr>
      </w:pPr>
    </w:p>
  </w:footnote>
  <w:footnote w:type="continuationSeparator" w:id="0">
    <w:p w:rsidR="00BF0CAE" w:rsidRDefault="00BF0CAE">
      <w:pPr>
        <w:rPr>
          <w:szCs w:val="24"/>
        </w:rPr>
      </w:pPr>
      <w:r>
        <w:rPr>
          <w:szCs w:val="24"/>
        </w:rPr>
        <w:continuationSeparator/>
      </w:r>
    </w:p>
    <w:p w:rsidR="00BF0CAE" w:rsidRDefault="00BF0CAE">
      <w:pPr>
        <w:rPr>
          <w:szCs w:val="24"/>
        </w:rPr>
      </w:pPr>
    </w:p>
    <w:p w:rsidR="00BF0CAE" w:rsidRDefault="00BF0CAE">
      <w:pPr>
        <w:rPr>
          <w:szCs w:val="24"/>
        </w:rPr>
      </w:pPr>
    </w:p>
  </w:footnote>
  <w:footnote w:type="continuationNotice" w:id="1">
    <w:p w:rsidR="00BF0CAE" w:rsidRDefault="00BF0CAE">
      <w:pPr>
        <w:jc w:val="right"/>
        <w:rPr>
          <w:szCs w:val="24"/>
        </w:rPr>
      </w:pPr>
      <w:r>
        <w:rPr>
          <w:noProof/>
          <w:szCs w:val="24"/>
        </w:rPr>
        <w:t>(continued...)</w:t>
      </w:r>
    </w:p>
    <w:p w:rsidR="00BF0CAE" w:rsidRDefault="00BF0CAE">
      <w:pPr>
        <w:rPr>
          <w:szCs w:val="24"/>
        </w:rPr>
      </w:pPr>
    </w:p>
    <w:p w:rsidR="00BF0CAE" w:rsidRDefault="00BF0CAE">
      <w:pPr>
        <w:rPr>
          <w:szCs w:val="24"/>
        </w:rPr>
      </w:pPr>
    </w:p>
  </w:footnote>
  <w:footnote w:id="2">
    <w:p w:rsidR="00BC6774" w:rsidRDefault="00C03E15">
      <w:pPr>
        <w:pStyle w:val="FootnoteText"/>
      </w:pPr>
      <w:r>
        <w:rPr>
          <w:rStyle w:val="FootnoteReference"/>
          <w:szCs w:val="24"/>
        </w:rPr>
        <w:footnoteRef/>
      </w:r>
      <w:r>
        <w:rPr>
          <w:szCs w:val="24"/>
        </w:rPr>
        <w:t xml:space="preserve"> </w:t>
      </w:r>
      <w:r>
        <w:rPr>
          <w:noProof/>
          <w:szCs w:val="24"/>
        </w:rPr>
        <w:t xml:space="preserve">John Short i Stefan </w:t>
      </w:r>
      <w:r w:rsidRPr="00BD10E9">
        <w:rPr>
          <w:noProof/>
          <w:szCs w:val="24"/>
        </w:rPr>
        <w:t>Teodosić bili su zaduženi za rad na terenu i izradu ove ocene</w:t>
      </w:r>
    </w:p>
  </w:footnote>
  <w:footnote w:id="3">
    <w:p w:rsidR="00BC6774" w:rsidRDefault="00C03E15">
      <w:pPr>
        <w:pStyle w:val="FootnoteText"/>
      </w:pPr>
      <w:r>
        <w:rPr>
          <w:rStyle w:val="FootnoteReference"/>
          <w:szCs w:val="24"/>
        </w:rPr>
        <w:footnoteRef/>
      </w:r>
      <w:r>
        <w:rPr>
          <w:szCs w:val="24"/>
        </w:rPr>
        <w:t xml:space="preserve"> </w:t>
      </w:r>
      <w:r>
        <w:rPr>
          <w:szCs w:val="24"/>
          <w:lang w:val="sr-Latn-CS"/>
        </w:rPr>
        <w:t>RINO mrežna aplikacija</w:t>
      </w:r>
    </w:p>
  </w:footnote>
  <w:footnote w:id="4">
    <w:p w:rsidR="00BC6774" w:rsidRDefault="00C03E15">
      <w:pPr>
        <w:pStyle w:val="FootnoteText"/>
      </w:pPr>
      <w:r>
        <w:rPr>
          <w:rStyle w:val="FootnoteReference"/>
          <w:szCs w:val="24"/>
        </w:rPr>
        <w:footnoteRef/>
      </w:r>
      <w:r>
        <w:rPr>
          <w:szCs w:val="24"/>
        </w:rPr>
        <w:t xml:space="preserve"> </w:t>
      </w:r>
      <w:r>
        <w:rPr>
          <w:szCs w:val="24"/>
          <w:lang w:val="sr-Latn-CS"/>
        </w:rPr>
        <w:t>Pošto opština koristi samo RSD, pretpostavke o kursu nisu relevantne</w:t>
      </w:r>
    </w:p>
  </w:footnote>
  <w:footnote w:id="5">
    <w:p w:rsidR="00BC6774" w:rsidRDefault="00C03E15">
      <w:pPr>
        <w:pStyle w:val="FootnoteText"/>
      </w:pPr>
      <w:r>
        <w:rPr>
          <w:rStyle w:val="FootnoteReference"/>
          <w:szCs w:val="24"/>
        </w:rPr>
        <w:footnoteRef/>
      </w:r>
      <w:r>
        <w:rPr>
          <w:szCs w:val="24"/>
        </w:rPr>
        <w:t xml:space="preserve"> ZBS</w:t>
      </w:r>
      <w:r>
        <w:rPr>
          <w:noProof/>
          <w:szCs w:val="24"/>
        </w:rPr>
        <w:t xml:space="preserve"> član 9, stav 12:</w:t>
      </w:r>
      <w:r>
        <w:rPr>
          <w:szCs w:val="24"/>
        </w:rPr>
        <w:t xml:space="preserve"> </w:t>
      </w:r>
      <w:r>
        <w:rPr>
          <w:szCs w:val="24"/>
          <w:lang w:val="sr-Latn-RS"/>
        </w:rPr>
        <w:t>„Novčana sredstva budžeta lokalne vlasti, direktnih i indirektnih korisnika tog budžeta</w:t>
      </w:r>
      <w:r>
        <w:rPr>
          <w:noProof/>
          <w:szCs w:val="24"/>
        </w:rPr>
        <w:t>, kao i drugih korisnika javnih sredstava koji su uključeni u konsolidovani račun trezora lokalne vlasti, vode se i deponuju na konsolidovanom računu trezora lokalne vlasti"</w:t>
      </w:r>
      <w:r>
        <w:rPr>
          <w:szCs w:val="24"/>
        </w:rPr>
        <w:t xml:space="preserve">  </w:t>
      </w:r>
    </w:p>
  </w:footnote>
  <w:footnote w:id="6">
    <w:p w:rsidR="00BC6774" w:rsidRPr="00025057" w:rsidRDefault="00C03E15">
      <w:pPr>
        <w:pStyle w:val="FootnoteText"/>
        <w:rPr>
          <w:lang w:val="fr-CH"/>
        </w:rPr>
      </w:pPr>
      <w:r>
        <w:rPr>
          <w:rStyle w:val="FootnoteReference"/>
        </w:rPr>
        <w:footnoteRef/>
      </w:r>
      <w:r w:rsidRPr="00025057">
        <w:rPr>
          <w:lang w:val="fr-CH"/>
        </w:rPr>
        <w:t xml:space="preserve"> </w:t>
      </w:r>
      <w:r>
        <w:rPr>
          <w:lang w:val="sr-Latn-RS"/>
        </w:rPr>
        <w:t>Moguće je samo sedam od osam jer se ne sprovodi revizija (videti PU 26)</w:t>
      </w:r>
    </w:p>
  </w:footnote>
  <w:footnote w:id="7">
    <w:p w:rsidR="00BC6774" w:rsidRDefault="00C03E15">
      <w:pPr>
        <w:pStyle w:val="FootnoteText"/>
        <w:spacing w:after="0"/>
      </w:pPr>
      <w:r>
        <w:rPr>
          <w:rStyle w:val="FootnoteReference"/>
          <w:szCs w:val="24"/>
        </w:rPr>
        <w:footnoteRef/>
      </w:r>
      <w:r>
        <w:rPr>
          <w:szCs w:val="24"/>
        </w:rPr>
        <w:t xml:space="preserve"> </w:t>
      </w:r>
      <w:r>
        <w:rPr>
          <w:szCs w:val="24"/>
          <w:lang w:val="sr-Latn-CS"/>
        </w:rPr>
        <w:t>RSD 8 miliona za studentski dom i RSD 3,6 za biblioteku</w:t>
      </w:r>
    </w:p>
  </w:footnote>
  <w:footnote w:id="8">
    <w:p w:rsidR="00C03E15" w:rsidRPr="00025057" w:rsidRDefault="00C03E15">
      <w:pPr>
        <w:pStyle w:val="FootnoteText"/>
        <w:rPr>
          <w:szCs w:val="24"/>
          <w:lang w:val="de-CH"/>
        </w:rPr>
      </w:pPr>
      <w:r>
        <w:rPr>
          <w:rStyle w:val="FootnoteReference"/>
          <w:szCs w:val="24"/>
        </w:rPr>
        <w:footnoteRef/>
      </w:r>
      <w:r w:rsidRPr="00025057">
        <w:rPr>
          <w:szCs w:val="24"/>
          <w:lang w:val="de-CH"/>
        </w:rPr>
        <w:t xml:space="preserve"> </w:t>
      </w:r>
      <w:r>
        <w:rPr>
          <w:szCs w:val="24"/>
          <w:lang w:val="sr-Latn-CS"/>
        </w:rPr>
        <w:t>MEGA projekat koji je realizovan između marta i septembra 2009.</w:t>
      </w:r>
    </w:p>
    <w:p w:rsidR="00BC6774" w:rsidRPr="00025057" w:rsidRDefault="00BC6774">
      <w:pPr>
        <w:pStyle w:val="FootnoteText"/>
        <w:rPr>
          <w:lang w:val="de-CH"/>
        </w:rPr>
      </w:pPr>
    </w:p>
  </w:footnote>
  <w:footnote w:id="9">
    <w:p w:rsidR="00BC6774" w:rsidRPr="00025057" w:rsidRDefault="00C03E15">
      <w:pPr>
        <w:pStyle w:val="FootnoteText"/>
        <w:spacing w:after="0"/>
        <w:rPr>
          <w:lang w:val="de-CH"/>
        </w:rPr>
      </w:pPr>
      <w:r>
        <w:rPr>
          <w:rStyle w:val="FootnoteReference"/>
          <w:szCs w:val="24"/>
        </w:rPr>
        <w:footnoteRef/>
      </w:r>
      <w:r w:rsidRPr="00025057">
        <w:rPr>
          <w:szCs w:val="24"/>
          <w:lang w:val="de-CH"/>
        </w:rPr>
        <w:t xml:space="preserve"> </w:t>
      </w:r>
      <w:r>
        <w:rPr>
          <w:szCs w:val="24"/>
          <w:lang w:val="sr-Latn-CS"/>
        </w:rPr>
        <w:t xml:space="preserve">Privredna komora je zadovoljna opštinom </w:t>
      </w:r>
      <w:proofErr w:type="spellStart"/>
      <w:r>
        <w:rPr>
          <w:szCs w:val="24"/>
          <w:lang w:val="sr-Latn-CS"/>
        </w:rPr>
        <w:t>Osečina</w:t>
      </w:r>
      <w:proofErr w:type="spellEnd"/>
      <w:r>
        <w:rPr>
          <w:szCs w:val="24"/>
          <w:lang w:val="sr-Latn-CS"/>
        </w:rPr>
        <w:t>, što nije slučaj u istoj meri sa ostalim opštinama u regionu.</w:t>
      </w:r>
    </w:p>
  </w:footnote>
  <w:footnote w:id="10">
    <w:p w:rsidR="00BC6774" w:rsidRPr="00025057" w:rsidRDefault="00C03E15">
      <w:pPr>
        <w:pStyle w:val="FootnoteText"/>
        <w:spacing w:after="0"/>
        <w:rPr>
          <w:lang w:val="de-CH"/>
        </w:rPr>
      </w:pPr>
      <w:r>
        <w:rPr>
          <w:rStyle w:val="FootnoteReference"/>
          <w:szCs w:val="24"/>
        </w:rPr>
        <w:footnoteRef/>
      </w:r>
      <w:r w:rsidRPr="00025057">
        <w:rPr>
          <w:szCs w:val="24"/>
          <w:lang w:val="de-CH"/>
        </w:rPr>
        <w:t xml:space="preserve"> </w:t>
      </w:r>
      <w:r>
        <w:rPr>
          <w:szCs w:val="24"/>
          <w:lang w:val="sr-Latn-CS"/>
        </w:rPr>
        <w:t>U toku uvođenja novog režima poreza na imovinu, Stalna konferencija je organizovala niz radionica širom zemlje..</w:t>
      </w:r>
    </w:p>
  </w:footnote>
  <w:footnote w:id="11">
    <w:p w:rsidR="00BC6774" w:rsidRDefault="00C03E15">
      <w:pPr>
        <w:pStyle w:val="FootnoteText"/>
      </w:pPr>
      <w:r>
        <w:rPr>
          <w:rStyle w:val="FootnoteReference"/>
          <w:szCs w:val="24"/>
        </w:rPr>
        <w:footnoteRef/>
      </w:r>
      <w:r>
        <w:rPr>
          <w:szCs w:val="24"/>
        </w:rPr>
        <w:t xml:space="preserve"> </w:t>
      </w:r>
      <w:r>
        <w:rPr>
          <w:noProof/>
          <w:szCs w:val="24"/>
        </w:rPr>
        <w:t>Engleski termin "supplementary budget” takođe označava rebalans.</w:t>
      </w:r>
    </w:p>
  </w:footnote>
  <w:footnote w:id="12">
    <w:p w:rsidR="00BC6774" w:rsidRDefault="00C03E15">
      <w:pPr>
        <w:pStyle w:val="FootnoteText"/>
      </w:pPr>
      <w:r>
        <w:rPr>
          <w:rStyle w:val="FootnoteReference"/>
          <w:szCs w:val="24"/>
        </w:rPr>
        <w:footnoteRef/>
      </w:r>
      <w:r>
        <w:rPr>
          <w:szCs w:val="24"/>
        </w:rPr>
        <w:t xml:space="preserve"> </w:t>
      </w:r>
      <w:r>
        <w:rPr>
          <w:szCs w:val="24"/>
          <w:lang w:val="sr-Latn-CS"/>
        </w:rPr>
        <w:t>RSD 8 miliona za studentski dom i RSD 3,6 za biblioteku</w:t>
      </w:r>
    </w:p>
  </w:footnote>
  <w:footnote w:id="13">
    <w:p w:rsidR="00BC6774" w:rsidRDefault="00C03E15">
      <w:pPr>
        <w:pStyle w:val="FootnoteText"/>
      </w:pPr>
      <w:r>
        <w:rPr>
          <w:rStyle w:val="FootnoteReference"/>
        </w:rPr>
        <w:footnoteRef/>
      </w:r>
      <w:r>
        <w:t xml:space="preserve"> </w:t>
      </w:r>
      <w:r w:rsidRPr="00E134FC">
        <w:t>http://portal.ujn.gov.rs/</w:t>
      </w:r>
    </w:p>
  </w:footnote>
  <w:footnote w:id="14">
    <w:p w:rsidR="00C03E15" w:rsidRPr="00025057" w:rsidRDefault="00C03E15" w:rsidP="005E6EE9">
      <w:pPr>
        <w:rPr>
          <w:rFonts w:ascii="MS Shell Dlg" w:hAnsi="MS Shell Dlg" w:cs="MS Shell Dlg"/>
          <w:color w:val="808080"/>
          <w:sz w:val="18"/>
          <w:szCs w:val="18"/>
          <w:lang w:val="fr-CH"/>
        </w:rPr>
      </w:pPr>
      <w:r>
        <w:rPr>
          <w:rStyle w:val="FootnoteReference"/>
        </w:rPr>
        <w:footnoteRef/>
      </w:r>
      <w:r w:rsidRPr="00025057">
        <w:rPr>
          <w:lang w:val="fr-CH"/>
        </w:rPr>
        <w:t xml:space="preserve"> </w:t>
      </w:r>
      <w:r w:rsidRPr="00B04D0E">
        <w:rPr>
          <w:sz w:val="18"/>
          <w:szCs w:val="18"/>
          <w:lang w:val="sr-Latn-RS"/>
        </w:rPr>
        <w:t>Na nabavke ispod 400.000 dinara se ne primenjuje Zakon o javnim nabavkama</w:t>
      </w:r>
    </w:p>
    <w:p w:rsidR="00BC6774" w:rsidRPr="00025057" w:rsidRDefault="00BC6774" w:rsidP="005E6EE9">
      <w:pPr>
        <w:rPr>
          <w:lang w:val="fr-CH"/>
        </w:rPr>
      </w:pPr>
    </w:p>
  </w:footnote>
  <w:footnote w:id="15">
    <w:p w:rsidR="00BC6774" w:rsidRPr="00025057" w:rsidRDefault="00C03E15">
      <w:pPr>
        <w:pStyle w:val="FootnoteText"/>
        <w:rPr>
          <w:lang w:val="fr-CH"/>
        </w:rPr>
      </w:pPr>
      <w:r>
        <w:rPr>
          <w:rStyle w:val="FootnoteReference"/>
          <w:szCs w:val="24"/>
        </w:rPr>
        <w:footnoteRef/>
      </w:r>
      <w:r w:rsidRPr="00025057">
        <w:rPr>
          <w:szCs w:val="24"/>
          <w:lang w:val="fr-CH"/>
        </w:rPr>
        <w:t xml:space="preserve"> </w:t>
      </w:r>
      <w:r>
        <w:rPr>
          <w:szCs w:val="24"/>
          <w:lang w:val="sr-Latn-CS"/>
        </w:rPr>
        <w:t>Službeni glasnik br. 125/2003 i 12/2006 - najviši pravni akt koji uređuje oblast računovodstva u javnom sektoru</w:t>
      </w:r>
    </w:p>
  </w:footnote>
  <w:footnote w:id="16">
    <w:p w:rsidR="00BC6774" w:rsidRPr="00025057" w:rsidRDefault="00C03E15">
      <w:pPr>
        <w:pStyle w:val="FootnoteText"/>
        <w:rPr>
          <w:lang w:val="fr-CH"/>
        </w:rPr>
      </w:pPr>
      <w:r>
        <w:rPr>
          <w:rStyle w:val="FootnoteReference"/>
          <w:szCs w:val="24"/>
        </w:rPr>
        <w:footnoteRef/>
      </w:r>
      <w:r w:rsidRPr="00025057">
        <w:rPr>
          <w:szCs w:val="24"/>
          <w:lang w:val="fr-CH"/>
        </w:rPr>
        <w:t xml:space="preserve"> </w:t>
      </w:r>
      <w:r>
        <w:rPr>
          <w:szCs w:val="24"/>
          <w:lang w:val="sr-Latn-CS"/>
        </w:rPr>
        <w:t>Službeni glasnik br. 51/2007 – propisani sadržaj i periodi finansijskog izveštavanja</w:t>
      </w:r>
      <w:r w:rsidRPr="00025057">
        <w:rPr>
          <w:szCs w:val="24"/>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15" w:rsidRDefault="00C03E15">
    <w:pPr>
      <w:pStyle w:val="Header"/>
      <w:rPr>
        <w:rStyle w:val="PageNumber"/>
        <w:szCs w:val="24"/>
      </w:rPr>
    </w:pPr>
    <w:r>
      <w:rPr>
        <w:rStyle w:val="PageNumber"/>
        <w:szCs w:val="24"/>
      </w:rPr>
      <w:tab/>
    </w:r>
  </w:p>
  <w:p w:rsidR="00C03E15" w:rsidRDefault="00C03E15">
    <w:pPr>
      <w:pStyle w:val="Header"/>
      <w:rPr>
        <w:szCs w:val="24"/>
      </w:rPr>
    </w:pPr>
  </w:p>
  <w:p w:rsidR="00C03E15" w:rsidRDefault="00C03E15">
    <w:pPr>
      <w:rPr>
        <w:szCs w:val="24"/>
      </w:rPr>
    </w:pPr>
  </w:p>
  <w:p w:rsidR="00C03E15" w:rsidRDefault="00C03E15">
    <w:pP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B01F2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726068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A366F"/>
    <w:multiLevelType w:val="hybridMultilevel"/>
    <w:tmpl w:val="F5B60F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635823"/>
    <w:multiLevelType w:val="hybridMultilevel"/>
    <w:tmpl w:val="B27831EA"/>
    <w:lvl w:ilvl="0" w:tplc="08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5D4634"/>
    <w:multiLevelType w:val="hybridMultilevel"/>
    <w:tmpl w:val="1F5A1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4105CA9"/>
    <w:multiLevelType w:val="hybridMultilevel"/>
    <w:tmpl w:val="B5226F94"/>
    <w:lvl w:ilvl="0" w:tplc="136A115A">
      <w:start w:val="1"/>
      <w:numFmt w:val="decimal"/>
      <w:pStyle w:val="ParagraphNumbering"/>
      <w:lvlText w:val="%1.     "/>
      <w:lvlJc w:val="left"/>
      <w:pPr>
        <w:tabs>
          <w:tab w:val="num" w:pos="1713"/>
        </w:tabs>
        <w:ind w:left="993"/>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45774F1"/>
    <w:multiLevelType w:val="hybridMultilevel"/>
    <w:tmpl w:val="1FD2FEB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584AEF"/>
    <w:multiLevelType w:val="hybridMultilevel"/>
    <w:tmpl w:val="F48A14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650472"/>
    <w:multiLevelType w:val="hybridMultilevel"/>
    <w:tmpl w:val="919EBD18"/>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3C1FD0"/>
    <w:multiLevelType w:val="hybridMultilevel"/>
    <w:tmpl w:val="51105B64"/>
    <w:lvl w:ilvl="0" w:tplc="7B50239E">
      <w:start w:val="1"/>
      <w:numFmt w:val="lowerRoman"/>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ACFE305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C65C397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23B8C9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A170CF1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0216847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5C74212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78DE54C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42E2490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0">
    <w:nsid w:val="29F31A6C"/>
    <w:multiLevelType w:val="hybridMultilevel"/>
    <w:tmpl w:val="B25E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7B0261"/>
    <w:multiLevelType w:val="hybridMultilevel"/>
    <w:tmpl w:val="C0C83D8C"/>
    <w:lvl w:ilvl="0" w:tplc="BA44448A">
      <w:numFmt w:val="bullet"/>
      <w:lvlText w:val="-"/>
      <w:lvlJc w:val="left"/>
      <w:pPr>
        <w:ind w:left="1080" w:hanging="360"/>
      </w:pPr>
      <w:rPr>
        <w:rFonts w:ascii="Times New Roman" w:eastAsia="SimSu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3BD775C"/>
    <w:multiLevelType w:val="hybridMultilevel"/>
    <w:tmpl w:val="9ACC1D46"/>
    <w:lvl w:ilvl="0" w:tplc="61962020">
      <w:start w:val="1"/>
      <w:numFmt w:val="lowerRoman"/>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B17A068E">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vertAlign w:val="baseline"/>
      </w:rPr>
    </w:lvl>
    <w:lvl w:ilvl="2" w:tplc="D5F4A2C0">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vertAlign w:val="baseline"/>
      </w:rPr>
    </w:lvl>
    <w:lvl w:ilvl="3" w:tplc="15FEF7C0">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vertAlign w:val="baseline"/>
      </w:rPr>
    </w:lvl>
    <w:lvl w:ilvl="4" w:tplc="42B2FBE4">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vertAlign w:val="baseline"/>
      </w:rPr>
    </w:lvl>
    <w:lvl w:ilvl="5" w:tplc="F73E95A4">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vertAlign w:val="baseline"/>
      </w:rPr>
    </w:lvl>
    <w:lvl w:ilvl="6" w:tplc="2FC89942">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vertAlign w:val="baseline"/>
      </w:rPr>
    </w:lvl>
    <w:lvl w:ilvl="7" w:tplc="E5FEDF50">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vertAlign w:val="baseline"/>
      </w:rPr>
    </w:lvl>
    <w:lvl w:ilvl="8" w:tplc="A9827654">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3">
    <w:nsid w:val="4DBC6024"/>
    <w:multiLevelType w:val="hybridMultilevel"/>
    <w:tmpl w:val="FA764A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4FF53E47"/>
    <w:multiLevelType w:val="hybridMultilevel"/>
    <w:tmpl w:val="BB6CC872"/>
    <w:lvl w:ilvl="0" w:tplc="6B8C6026">
      <w:start w:val="1"/>
      <w:numFmt w:val="lowerRoman"/>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F73A19A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4412D8F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AE1CDAD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FB2A38D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4126D72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F396591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44F8499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2376E45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5">
    <w:nsid w:val="53094A47"/>
    <w:multiLevelType w:val="hybridMultilevel"/>
    <w:tmpl w:val="FFC8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0170AF"/>
    <w:multiLevelType w:val="singleLevel"/>
    <w:tmpl w:val="DA7A1714"/>
    <w:lvl w:ilvl="0">
      <w:start w:val="1"/>
      <w:numFmt w:val="bullet"/>
      <w:pStyle w:val="SECTIONContents"/>
      <w:lvlText w:val=""/>
      <w:lvlJc w:val="left"/>
      <w:pPr>
        <w:tabs>
          <w:tab w:val="num" w:pos="360"/>
        </w:tabs>
        <w:ind w:left="360" w:hanging="360"/>
      </w:pPr>
      <w:rPr>
        <w:rFonts w:ascii="Symbol" w:hAnsi="Symbol" w:hint="default"/>
      </w:rPr>
    </w:lvl>
  </w:abstractNum>
  <w:abstractNum w:abstractNumId="17">
    <w:nsid w:val="54CF62B3"/>
    <w:multiLevelType w:val="hybridMultilevel"/>
    <w:tmpl w:val="4C2212D8"/>
    <w:lvl w:ilvl="0" w:tplc="4D9CC250">
      <w:start w:val="1"/>
      <w:numFmt w:val="lowerRoman"/>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17440F7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A490D13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3A843D7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34B8F97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D9B6CB4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BEAECFD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76A6197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D792871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8">
    <w:nsid w:val="57E81E3D"/>
    <w:multiLevelType w:val="hybridMultilevel"/>
    <w:tmpl w:val="14183746"/>
    <w:lvl w:ilvl="0" w:tplc="95BE0C8E">
      <w:numFmt w:val="bullet"/>
      <w:lvlText w:val="•"/>
      <w:lvlJc w:val="left"/>
      <w:pPr>
        <w:ind w:left="360" w:hanging="360"/>
      </w:pPr>
      <w:rPr>
        <w:rFonts w:ascii="Times New Roman" w:eastAsia="SimSun" w:hAnsi="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FB3ED6"/>
    <w:multiLevelType w:val="hybridMultilevel"/>
    <w:tmpl w:val="A2D4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2D2"/>
    <w:multiLevelType w:val="hybridMultilevel"/>
    <w:tmpl w:val="0C348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264A86"/>
    <w:multiLevelType w:val="hybridMultilevel"/>
    <w:tmpl w:val="78DC002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2801900"/>
    <w:multiLevelType w:val="hybridMultilevel"/>
    <w:tmpl w:val="8A3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E3DC1"/>
    <w:multiLevelType w:val="hybridMultilevel"/>
    <w:tmpl w:val="BA2497BC"/>
    <w:lvl w:ilvl="0" w:tplc="711479FE">
      <w:start w:val="1"/>
      <w:numFmt w:val="lowerRoman"/>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93C8021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60982A9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2814E35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35F67A8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782487F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FE90766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7C7E71C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D3A88CE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4">
    <w:nsid w:val="67742AA7"/>
    <w:multiLevelType w:val="hybridMultilevel"/>
    <w:tmpl w:val="EF24C5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7DD53B0"/>
    <w:multiLevelType w:val="hybridMultilevel"/>
    <w:tmpl w:val="FA88D1DE"/>
    <w:lvl w:ilvl="0" w:tplc="01626BDA">
      <w:start w:val="1"/>
      <w:numFmt w:val="lowerRoman"/>
      <w:pStyle w:val="NormalBold"/>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8246BB6"/>
    <w:multiLevelType w:val="hybridMultilevel"/>
    <w:tmpl w:val="F11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990F44"/>
    <w:multiLevelType w:val="hybridMultilevel"/>
    <w:tmpl w:val="9380229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C7F0B04"/>
    <w:multiLevelType w:val="hybridMultilevel"/>
    <w:tmpl w:val="A8D0DA12"/>
    <w:lvl w:ilvl="0" w:tplc="8FAC6178">
      <w:start w:val="1"/>
      <w:numFmt w:val="lowerRoman"/>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B314886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vertAlign w:val="baseline"/>
      </w:rPr>
    </w:lvl>
    <w:lvl w:ilvl="2" w:tplc="32264F2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vertAlign w:val="baseline"/>
      </w:rPr>
    </w:lvl>
    <w:lvl w:ilvl="3" w:tplc="96BC23D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vertAlign w:val="baseline"/>
      </w:rPr>
    </w:lvl>
    <w:lvl w:ilvl="4" w:tplc="17069F0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vertAlign w:val="baseline"/>
      </w:rPr>
    </w:lvl>
    <w:lvl w:ilvl="5" w:tplc="5CD6E50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vertAlign w:val="baseline"/>
      </w:rPr>
    </w:lvl>
    <w:lvl w:ilvl="6" w:tplc="7FD80A1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vertAlign w:val="baseline"/>
      </w:rPr>
    </w:lvl>
    <w:lvl w:ilvl="7" w:tplc="964EC9D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vertAlign w:val="baseline"/>
      </w:rPr>
    </w:lvl>
    <w:lvl w:ilvl="8" w:tplc="DD0831E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9">
    <w:nsid w:val="6F1B26A6"/>
    <w:multiLevelType w:val="hybridMultilevel"/>
    <w:tmpl w:val="D13E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C77A7D"/>
    <w:multiLevelType w:val="hybridMultilevel"/>
    <w:tmpl w:val="AD38E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0EA15A1"/>
    <w:multiLevelType w:val="multilevel"/>
    <w:tmpl w:val="FAA42BFC"/>
    <w:lvl w:ilvl="0">
      <w:start w:val="1"/>
      <w:numFmt w:val="upperRoman"/>
      <w:suff w:val="nothing"/>
      <w:lvlText w:val="%1.   "/>
      <w:lvlJc w:val="left"/>
      <w:pPr>
        <w:ind w:left="3690"/>
      </w:pPr>
      <w:rPr>
        <w:rFonts w:cs="Times New Roman" w:hint="default"/>
      </w:rPr>
    </w:lvl>
    <w:lvl w:ilvl="1">
      <w:start w:val="1"/>
      <w:numFmt w:val="upperLetter"/>
      <w:suff w:val="nothing"/>
      <w:lvlText w:val="%2.   "/>
      <w:lvlJc w:val="left"/>
      <w:pPr>
        <w:ind w:left="1890"/>
      </w:pPr>
      <w:rPr>
        <w:rFonts w:cs="Times New Roman" w:hint="default"/>
      </w:rPr>
    </w:lvl>
    <w:lvl w:ilvl="2">
      <w:start w:val="1"/>
      <w:numFmt w:val="decimal"/>
      <w:lvlText w:val="%3."/>
      <w:lvlJc w:val="left"/>
      <w:pPr>
        <w:tabs>
          <w:tab w:val="num" w:pos="360"/>
        </w:tabs>
      </w:pPr>
      <w:rPr>
        <w:rFonts w:cs="Times New Roman" w:hint="default"/>
      </w:rPr>
    </w:lvl>
    <w:lvl w:ilvl="3">
      <w:start w:val="1"/>
      <w:numFmt w:val="lowerLetter"/>
      <w:lvlText w:val="%4)"/>
      <w:lvlJc w:val="left"/>
      <w:pPr>
        <w:tabs>
          <w:tab w:val="num" w:pos="1800"/>
        </w:tabs>
        <w:ind w:left="1440"/>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396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400"/>
        </w:tabs>
        <w:ind w:left="5040"/>
      </w:pPr>
      <w:rPr>
        <w:rFonts w:cs="Times New Roman" w:hint="default"/>
      </w:rPr>
    </w:lvl>
  </w:abstractNum>
  <w:abstractNum w:abstractNumId="32">
    <w:nsid w:val="785C34EC"/>
    <w:multiLevelType w:val="hybridMultilevel"/>
    <w:tmpl w:val="01DC9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A56E0A"/>
    <w:multiLevelType w:val="hybridMultilevel"/>
    <w:tmpl w:val="7CC6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5"/>
  </w:num>
  <w:num w:numId="15">
    <w:abstractNumId w:val="31"/>
  </w:num>
  <w:num w:numId="16">
    <w:abstractNumId w:val="16"/>
  </w:num>
  <w:num w:numId="17">
    <w:abstractNumId w:val="0"/>
  </w:num>
  <w:num w:numId="18">
    <w:abstractNumId w:val="25"/>
  </w:num>
  <w:num w:numId="19">
    <w:abstractNumId w:val="19"/>
  </w:num>
  <w:num w:numId="20">
    <w:abstractNumId w:val="12"/>
  </w:num>
  <w:num w:numId="21">
    <w:abstractNumId w:val="28"/>
  </w:num>
  <w:num w:numId="22">
    <w:abstractNumId w:val="17"/>
  </w:num>
  <w:num w:numId="23">
    <w:abstractNumId w:val="14"/>
  </w:num>
  <w:num w:numId="24">
    <w:abstractNumId w:val="9"/>
  </w:num>
  <w:num w:numId="25">
    <w:abstractNumId w:val="23"/>
  </w:num>
  <w:num w:numId="26">
    <w:abstractNumId w:val="20"/>
  </w:num>
  <w:num w:numId="27">
    <w:abstractNumId w:val="2"/>
  </w:num>
  <w:num w:numId="28">
    <w:abstractNumId w:val="7"/>
  </w:num>
  <w:num w:numId="29">
    <w:abstractNumId w:val="24"/>
  </w:num>
  <w:num w:numId="30">
    <w:abstractNumId w:val="26"/>
  </w:num>
  <w:num w:numId="31">
    <w:abstractNumId w:val="32"/>
  </w:num>
  <w:num w:numId="32">
    <w:abstractNumId w:val="33"/>
  </w:num>
  <w:num w:numId="33">
    <w:abstractNumId w:val="21"/>
  </w:num>
  <w:num w:numId="34">
    <w:abstractNumId w:val="10"/>
  </w:num>
  <w:num w:numId="35">
    <w:abstractNumId w:val="4"/>
  </w:num>
  <w:num w:numId="36">
    <w:abstractNumId w:val="22"/>
  </w:num>
  <w:num w:numId="37">
    <w:abstractNumId w:val="15"/>
  </w:num>
  <w:num w:numId="38">
    <w:abstractNumId w:val="29"/>
  </w:num>
  <w:num w:numId="39">
    <w:abstractNumId w:val="13"/>
  </w:num>
  <w:num w:numId="40">
    <w:abstractNumId w:val="18"/>
  </w:num>
  <w:num w:numId="41">
    <w:abstractNumId w:val="30"/>
  </w:num>
  <w:num w:numId="42">
    <w:abstractNumId w:val="27"/>
  </w:num>
  <w:num w:numId="43">
    <w:abstractNumId w:val="6"/>
  </w:num>
  <w:num w:numId="44">
    <w:abstractNumId w:val="11"/>
  </w:num>
  <w:num w:numId="45">
    <w:abstractNumId w:val="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BB"/>
    <w:rsid w:val="000004D3"/>
    <w:rsid w:val="00000E79"/>
    <w:rsid w:val="00003053"/>
    <w:rsid w:val="000071CA"/>
    <w:rsid w:val="00012856"/>
    <w:rsid w:val="000130A6"/>
    <w:rsid w:val="00013B02"/>
    <w:rsid w:val="00014690"/>
    <w:rsid w:val="00015ECA"/>
    <w:rsid w:val="000165A2"/>
    <w:rsid w:val="00020DE0"/>
    <w:rsid w:val="00022372"/>
    <w:rsid w:val="00023187"/>
    <w:rsid w:val="00023445"/>
    <w:rsid w:val="000234CA"/>
    <w:rsid w:val="0002365B"/>
    <w:rsid w:val="00025057"/>
    <w:rsid w:val="000278F5"/>
    <w:rsid w:val="00027C15"/>
    <w:rsid w:val="00031A98"/>
    <w:rsid w:val="00032143"/>
    <w:rsid w:val="00034F3A"/>
    <w:rsid w:val="00037100"/>
    <w:rsid w:val="0004160D"/>
    <w:rsid w:val="00043DB4"/>
    <w:rsid w:val="00044688"/>
    <w:rsid w:val="00046D1D"/>
    <w:rsid w:val="0004735F"/>
    <w:rsid w:val="0005742B"/>
    <w:rsid w:val="00061094"/>
    <w:rsid w:val="0006701F"/>
    <w:rsid w:val="000705A5"/>
    <w:rsid w:val="00070671"/>
    <w:rsid w:val="00070D8E"/>
    <w:rsid w:val="00071C89"/>
    <w:rsid w:val="00073D2D"/>
    <w:rsid w:val="00074097"/>
    <w:rsid w:val="0007494D"/>
    <w:rsid w:val="00076DD7"/>
    <w:rsid w:val="00076F64"/>
    <w:rsid w:val="00077F48"/>
    <w:rsid w:val="00080824"/>
    <w:rsid w:val="0008157F"/>
    <w:rsid w:val="000817D5"/>
    <w:rsid w:val="00083D50"/>
    <w:rsid w:val="00085507"/>
    <w:rsid w:val="00085534"/>
    <w:rsid w:val="00086557"/>
    <w:rsid w:val="00086DF2"/>
    <w:rsid w:val="000872DB"/>
    <w:rsid w:val="000876B5"/>
    <w:rsid w:val="0009200A"/>
    <w:rsid w:val="000931A5"/>
    <w:rsid w:val="000935D1"/>
    <w:rsid w:val="0009751C"/>
    <w:rsid w:val="000A0531"/>
    <w:rsid w:val="000A0795"/>
    <w:rsid w:val="000A1E6C"/>
    <w:rsid w:val="000A2552"/>
    <w:rsid w:val="000A276B"/>
    <w:rsid w:val="000A3CBA"/>
    <w:rsid w:val="000A3D3F"/>
    <w:rsid w:val="000A725F"/>
    <w:rsid w:val="000A74D2"/>
    <w:rsid w:val="000A7813"/>
    <w:rsid w:val="000B1C88"/>
    <w:rsid w:val="000B2EFB"/>
    <w:rsid w:val="000B3312"/>
    <w:rsid w:val="000B5133"/>
    <w:rsid w:val="000B69DD"/>
    <w:rsid w:val="000B7138"/>
    <w:rsid w:val="000B76D6"/>
    <w:rsid w:val="000B792D"/>
    <w:rsid w:val="000C0287"/>
    <w:rsid w:val="000C13C9"/>
    <w:rsid w:val="000C1745"/>
    <w:rsid w:val="000C21D0"/>
    <w:rsid w:val="000C314F"/>
    <w:rsid w:val="000C344B"/>
    <w:rsid w:val="000C3A61"/>
    <w:rsid w:val="000C4581"/>
    <w:rsid w:val="000C6D97"/>
    <w:rsid w:val="000C7478"/>
    <w:rsid w:val="000C7D9F"/>
    <w:rsid w:val="000D2501"/>
    <w:rsid w:val="000D3498"/>
    <w:rsid w:val="000D34A5"/>
    <w:rsid w:val="000D518C"/>
    <w:rsid w:val="000D597A"/>
    <w:rsid w:val="000D5FAE"/>
    <w:rsid w:val="000D65F8"/>
    <w:rsid w:val="000D6919"/>
    <w:rsid w:val="000D7937"/>
    <w:rsid w:val="000E2121"/>
    <w:rsid w:val="000E4E2B"/>
    <w:rsid w:val="000E5C08"/>
    <w:rsid w:val="000E6064"/>
    <w:rsid w:val="000F081F"/>
    <w:rsid w:val="000F101E"/>
    <w:rsid w:val="000F1132"/>
    <w:rsid w:val="000F65A6"/>
    <w:rsid w:val="000F6876"/>
    <w:rsid w:val="000F6BB5"/>
    <w:rsid w:val="000F6C92"/>
    <w:rsid w:val="000F743E"/>
    <w:rsid w:val="00100990"/>
    <w:rsid w:val="001012D2"/>
    <w:rsid w:val="00102CAE"/>
    <w:rsid w:val="0010468D"/>
    <w:rsid w:val="00105D12"/>
    <w:rsid w:val="00107572"/>
    <w:rsid w:val="001076CD"/>
    <w:rsid w:val="001115D1"/>
    <w:rsid w:val="00111E83"/>
    <w:rsid w:val="00111EEB"/>
    <w:rsid w:val="00112AAE"/>
    <w:rsid w:val="00114B3D"/>
    <w:rsid w:val="0011665D"/>
    <w:rsid w:val="00120634"/>
    <w:rsid w:val="00121FB4"/>
    <w:rsid w:val="00122B61"/>
    <w:rsid w:val="001246A6"/>
    <w:rsid w:val="00124B1F"/>
    <w:rsid w:val="00124C3F"/>
    <w:rsid w:val="00125002"/>
    <w:rsid w:val="00126651"/>
    <w:rsid w:val="00126784"/>
    <w:rsid w:val="00127BF7"/>
    <w:rsid w:val="00130F1A"/>
    <w:rsid w:val="001326A2"/>
    <w:rsid w:val="001326F8"/>
    <w:rsid w:val="00134504"/>
    <w:rsid w:val="0013608B"/>
    <w:rsid w:val="0013733A"/>
    <w:rsid w:val="001401FD"/>
    <w:rsid w:val="001409BE"/>
    <w:rsid w:val="00141A6F"/>
    <w:rsid w:val="00142672"/>
    <w:rsid w:val="001432C7"/>
    <w:rsid w:val="00143C7C"/>
    <w:rsid w:val="001459F4"/>
    <w:rsid w:val="0014718A"/>
    <w:rsid w:val="001475E8"/>
    <w:rsid w:val="00147B33"/>
    <w:rsid w:val="00150072"/>
    <w:rsid w:val="001509A0"/>
    <w:rsid w:val="00150D11"/>
    <w:rsid w:val="00151B69"/>
    <w:rsid w:val="00153B8E"/>
    <w:rsid w:val="001548E8"/>
    <w:rsid w:val="0015750C"/>
    <w:rsid w:val="001617DC"/>
    <w:rsid w:val="001619F0"/>
    <w:rsid w:val="00162E95"/>
    <w:rsid w:val="00163A43"/>
    <w:rsid w:val="00164728"/>
    <w:rsid w:val="001669F0"/>
    <w:rsid w:val="001701C3"/>
    <w:rsid w:val="0017319E"/>
    <w:rsid w:val="00174859"/>
    <w:rsid w:val="00176339"/>
    <w:rsid w:val="00177261"/>
    <w:rsid w:val="00177D13"/>
    <w:rsid w:val="0018173B"/>
    <w:rsid w:val="00181BCF"/>
    <w:rsid w:val="00182E6C"/>
    <w:rsid w:val="00183F79"/>
    <w:rsid w:val="00184AE4"/>
    <w:rsid w:val="001859A0"/>
    <w:rsid w:val="00186316"/>
    <w:rsid w:val="00186464"/>
    <w:rsid w:val="00186D83"/>
    <w:rsid w:val="00190719"/>
    <w:rsid w:val="001912A3"/>
    <w:rsid w:val="00191581"/>
    <w:rsid w:val="00192447"/>
    <w:rsid w:val="00194CB8"/>
    <w:rsid w:val="001961EB"/>
    <w:rsid w:val="00196741"/>
    <w:rsid w:val="001970E1"/>
    <w:rsid w:val="001974F9"/>
    <w:rsid w:val="0019754C"/>
    <w:rsid w:val="00197D80"/>
    <w:rsid w:val="001A0A7A"/>
    <w:rsid w:val="001A0B79"/>
    <w:rsid w:val="001A23A0"/>
    <w:rsid w:val="001A321C"/>
    <w:rsid w:val="001A493E"/>
    <w:rsid w:val="001A7928"/>
    <w:rsid w:val="001A7D1C"/>
    <w:rsid w:val="001B4C26"/>
    <w:rsid w:val="001C1E87"/>
    <w:rsid w:val="001C42F9"/>
    <w:rsid w:val="001C56F9"/>
    <w:rsid w:val="001C6578"/>
    <w:rsid w:val="001C6CDF"/>
    <w:rsid w:val="001C7926"/>
    <w:rsid w:val="001D0203"/>
    <w:rsid w:val="001D0698"/>
    <w:rsid w:val="001D11AF"/>
    <w:rsid w:val="001D3AE5"/>
    <w:rsid w:val="001D4997"/>
    <w:rsid w:val="001D4B4F"/>
    <w:rsid w:val="001D7279"/>
    <w:rsid w:val="001D7A2E"/>
    <w:rsid w:val="001E07F4"/>
    <w:rsid w:val="001E1284"/>
    <w:rsid w:val="001E14AC"/>
    <w:rsid w:val="001E21F1"/>
    <w:rsid w:val="001E279C"/>
    <w:rsid w:val="001E3499"/>
    <w:rsid w:val="001E4CDF"/>
    <w:rsid w:val="001E539E"/>
    <w:rsid w:val="001E7E35"/>
    <w:rsid w:val="001F1591"/>
    <w:rsid w:val="001F31E5"/>
    <w:rsid w:val="001F46E3"/>
    <w:rsid w:val="001F6619"/>
    <w:rsid w:val="001F6EB2"/>
    <w:rsid w:val="001F70DD"/>
    <w:rsid w:val="00200AA1"/>
    <w:rsid w:val="002020B2"/>
    <w:rsid w:val="002048DE"/>
    <w:rsid w:val="00205146"/>
    <w:rsid w:val="00205187"/>
    <w:rsid w:val="00211555"/>
    <w:rsid w:val="00212385"/>
    <w:rsid w:val="00212EF5"/>
    <w:rsid w:val="00214975"/>
    <w:rsid w:val="00214D27"/>
    <w:rsid w:val="00216CBC"/>
    <w:rsid w:val="00217F6E"/>
    <w:rsid w:val="00222A8E"/>
    <w:rsid w:val="00222B6A"/>
    <w:rsid w:val="00223904"/>
    <w:rsid w:val="00224E9E"/>
    <w:rsid w:val="00224EB3"/>
    <w:rsid w:val="00225424"/>
    <w:rsid w:val="00226B6F"/>
    <w:rsid w:val="00227B0A"/>
    <w:rsid w:val="00230002"/>
    <w:rsid w:val="00230F08"/>
    <w:rsid w:val="00231F56"/>
    <w:rsid w:val="00233133"/>
    <w:rsid w:val="00235C6E"/>
    <w:rsid w:val="0023644D"/>
    <w:rsid w:val="00236626"/>
    <w:rsid w:val="00241C96"/>
    <w:rsid w:val="002427ED"/>
    <w:rsid w:val="00242C14"/>
    <w:rsid w:val="002471BC"/>
    <w:rsid w:val="00247250"/>
    <w:rsid w:val="00247E63"/>
    <w:rsid w:val="0025184E"/>
    <w:rsid w:val="00252AB5"/>
    <w:rsid w:val="00253E2A"/>
    <w:rsid w:val="00254E90"/>
    <w:rsid w:val="00260C94"/>
    <w:rsid w:val="00261842"/>
    <w:rsid w:val="002619D9"/>
    <w:rsid w:val="00262867"/>
    <w:rsid w:val="00263163"/>
    <w:rsid w:val="00264304"/>
    <w:rsid w:val="00264E15"/>
    <w:rsid w:val="0026568B"/>
    <w:rsid w:val="00265B87"/>
    <w:rsid w:val="00267150"/>
    <w:rsid w:val="00271E47"/>
    <w:rsid w:val="002744B2"/>
    <w:rsid w:val="002747EC"/>
    <w:rsid w:val="00276A62"/>
    <w:rsid w:val="00276E81"/>
    <w:rsid w:val="00277C62"/>
    <w:rsid w:val="00277E8F"/>
    <w:rsid w:val="00280F61"/>
    <w:rsid w:val="002818B4"/>
    <w:rsid w:val="00281B49"/>
    <w:rsid w:val="00284568"/>
    <w:rsid w:val="00284F20"/>
    <w:rsid w:val="0028538E"/>
    <w:rsid w:val="00287304"/>
    <w:rsid w:val="00287E8C"/>
    <w:rsid w:val="00291532"/>
    <w:rsid w:val="00293457"/>
    <w:rsid w:val="00294298"/>
    <w:rsid w:val="002949DC"/>
    <w:rsid w:val="002958E4"/>
    <w:rsid w:val="0029666D"/>
    <w:rsid w:val="002A0FC8"/>
    <w:rsid w:val="002A1DD0"/>
    <w:rsid w:val="002A3399"/>
    <w:rsid w:val="002A3F12"/>
    <w:rsid w:val="002A3F13"/>
    <w:rsid w:val="002A5F00"/>
    <w:rsid w:val="002A6601"/>
    <w:rsid w:val="002A6AB1"/>
    <w:rsid w:val="002B1918"/>
    <w:rsid w:val="002B2742"/>
    <w:rsid w:val="002B4809"/>
    <w:rsid w:val="002B57F5"/>
    <w:rsid w:val="002B6003"/>
    <w:rsid w:val="002C0B79"/>
    <w:rsid w:val="002C0C0E"/>
    <w:rsid w:val="002C3154"/>
    <w:rsid w:val="002C3504"/>
    <w:rsid w:val="002C3BFA"/>
    <w:rsid w:val="002C406A"/>
    <w:rsid w:val="002C68F5"/>
    <w:rsid w:val="002C7D85"/>
    <w:rsid w:val="002D023D"/>
    <w:rsid w:val="002D037B"/>
    <w:rsid w:val="002D04FC"/>
    <w:rsid w:val="002D0734"/>
    <w:rsid w:val="002D234B"/>
    <w:rsid w:val="002D34E6"/>
    <w:rsid w:val="002D4FAD"/>
    <w:rsid w:val="002D5B76"/>
    <w:rsid w:val="002D5F5D"/>
    <w:rsid w:val="002D7D09"/>
    <w:rsid w:val="002E0548"/>
    <w:rsid w:val="002E0A93"/>
    <w:rsid w:val="002E3F42"/>
    <w:rsid w:val="002E451E"/>
    <w:rsid w:val="002E4701"/>
    <w:rsid w:val="002E483D"/>
    <w:rsid w:val="002E638A"/>
    <w:rsid w:val="002E7117"/>
    <w:rsid w:val="002F114E"/>
    <w:rsid w:val="002F4862"/>
    <w:rsid w:val="002F5EA1"/>
    <w:rsid w:val="002F721F"/>
    <w:rsid w:val="003010A3"/>
    <w:rsid w:val="00301DB1"/>
    <w:rsid w:val="00303B56"/>
    <w:rsid w:val="003041AC"/>
    <w:rsid w:val="003054F6"/>
    <w:rsid w:val="003064B2"/>
    <w:rsid w:val="00306B50"/>
    <w:rsid w:val="00307531"/>
    <w:rsid w:val="00307B6D"/>
    <w:rsid w:val="00310500"/>
    <w:rsid w:val="0031131E"/>
    <w:rsid w:val="003116B5"/>
    <w:rsid w:val="00312BF3"/>
    <w:rsid w:val="00312BFA"/>
    <w:rsid w:val="003134E6"/>
    <w:rsid w:val="003165F9"/>
    <w:rsid w:val="00316A56"/>
    <w:rsid w:val="00316F9F"/>
    <w:rsid w:val="003204C5"/>
    <w:rsid w:val="00320573"/>
    <w:rsid w:val="00320C57"/>
    <w:rsid w:val="00320E0C"/>
    <w:rsid w:val="00321669"/>
    <w:rsid w:val="003227E0"/>
    <w:rsid w:val="00322D46"/>
    <w:rsid w:val="003244B7"/>
    <w:rsid w:val="00324BD3"/>
    <w:rsid w:val="003277F4"/>
    <w:rsid w:val="00333C4D"/>
    <w:rsid w:val="00334729"/>
    <w:rsid w:val="0033505A"/>
    <w:rsid w:val="003361CC"/>
    <w:rsid w:val="0033663A"/>
    <w:rsid w:val="003366BE"/>
    <w:rsid w:val="003371FC"/>
    <w:rsid w:val="00337FAA"/>
    <w:rsid w:val="0034026C"/>
    <w:rsid w:val="00340AFF"/>
    <w:rsid w:val="0034192C"/>
    <w:rsid w:val="00343ACF"/>
    <w:rsid w:val="003440F3"/>
    <w:rsid w:val="00345D53"/>
    <w:rsid w:val="00345E8B"/>
    <w:rsid w:val="003464A1"/>
    <w:rsid w:val="003474CE"/>
    <w:rsid w:val="003502BF"/>
    <w:rsid w:val="00350D64"/>
    <w:rsid w:val="00351E00"/>
    <w:rsid w:val="003552E1"/>
    <w:rsid w:val="003565A2"/>
    <w:rsid w:val="00357A56"/>
    <w:rsid w:val="003601D6"/>
    <w:rsid w:val="003602E9"/>
    <w:rsid w:val="00361BCC"/>
    <w:rsid w:val="003626D3"/>
    <w:rsid w:val="00362EE1"/>
    <w:rsid w:val="00365B28"/>
    <w:rsid w:val="00366538"/>
    <w:rsid w:val="00366FA9"/>
    <w:rsid w:val="0036720F"/>
    <w:rsid w:val="003701E0"/>
    <w:rsid w:val="00370447"/>
    <w:rsid w:val="00371429"/>
    <w:rsid w:val="003739FA"/>
    <w:rsid w:val="003744BB"/>
    <w:rsid w:val="003754C5"/>
    <w:rsid w:val="00377F60"/>
    <w:rsid w:val="00381B53"/>
    <w:rsid w:val="00382724"/>
    <w:rsid w:val="00382A52"/>
    <w:rsid w:val="00383A10"/>
    <w:rsid w:val="00383BD1"/>
    <w:rsid w:val="00386FEA"/>
    <w:rsid w:val="00393B27"/>
    <w:rsid w:val="00393C93"/>
    <w:rsid w:val="003A14D1"/>
    <w:rsid w:val="003A35A7"/>
    <w:rsid w:val="003A3754"/>
    <w:rsid w:val="003A49CF"/>
    <w:rsid w:val="003A67EB"/>
    <w:rsid w:val="003B33CE"/>
    <w:rsid w:val="003B4E7F"/>
    <w:rsid w:val="003B4F74"/>
    <w:rsid w:val="003B5E4D"/>
    <w:rsid w:val="003B692C"/>
    <w:rsid w:val="003B7492"/>
    <w:rsid w:val="003C0ECC"/>
    <w:rsid w:val="003C1783"/>
    <w:rsid w:val="003C2695"/>
    <w:rsid w:val="003C4260"/>
    <w:rsid w:val="003C45AB"/>
    <w:rsid w:val="003C5F5E"/>
    <w:rsid w:val="003C6574"/>
    <w:rsid w:val="003C6C02"/>
    <w:rsid w:val="003D5DB0"/>
    <w:rsid w:val="003E11F3"/>
    <w:rsid w:val="003E5404"/>
    <w:rsid w:val="003F185A"/>
    <w:rsid w:val="003F2F6D"/>
    <w:rsid w:val="003F333F"/>
    <w:rsid w:val="003F3979"/>
    <w:rsid w:val="003F4E62"/>
    <w:rsid w:val="003F4FB3"/>
    <w:rsid w:val="003F54D9"/>
    <w:rsid w:val="003F7A28"/>
    <w:rsid w:val="00404A99"/>
    <w:rsid w:val="00406D4D"/>
    <w:rsid w:val="00406FCA"/>
    <w:rsid w:val="0041367B"/>
    <w:rsid w:val="00413EFE"/>
    <w:rsid w:val="0042021F"/>
    <w:rsid w:val="00420243"/>
    <w:rsid w:val="00421BD1"/>
    <w:rsid w:val="00422033"/>
    <w:rsid w:val="00422AF3"/>
    <w:rsid w:val="004252ED"/>
    <w:rsid w:val="00425B88"/>
    <w:rsid w:val="00426597"/>
    <w:rsid w:val="00431728"/>
    <w:rsid w:val="00431C1D"/>
    <w:rsid w:val="00434951"/>
    <w:rsid w:val="00435BDC"/>
    <w:rsid w:val="00437617"/>
    <w:rsid w:val="004379F4"/>
    <w:rsid w:val="00437FB9"/>
    <w:rsid w:val="00442880"/>
    <w:rsid w:val="00442E0D"/>
    <w:rsid w:val="00443514"/>
    <w:rsid w:val="0044599E"/>
    <w:rsid w:val="00450B6B"/>
    <w:rsid w:val="00451E46"/>
    <w:rsid w:val="00451EE6"/>
    <w:rsid w:val="00455C78"/>
    <w:rsid w:val="004568D6"/>
    <w:rsid w:val="00456C50"/>
    <w:rsid w:val="00456C6A"/>
    <w:rsid w:val="00456FD9"/>
    <w:rsid w:val="00460D69"/>
    <w:rsid w:val="00462096"/>
    <w:rsid w:val="00462366"/>
    <w:rsid w:val="00462ACB"/>
    <w:rsid w:val="00464E35"/>
    <w:rsid w:val="00467E70"/>
    <w:rsid w:val="0047051B"/>
    <w:rsid w:val="00470D59"/>
    <w:rsid w:val="00477943"/>
    <w:rsid w:val="00480832"/>
    <w:rsid w:val="004823F4"/>
    <w:rsid w:val="00484819"/>
    <w:rsid w:val="00484D10"/>
    <w:rsid w:val="004858A2"/>
    <w:rsid w:val="00486ACF"/>
    <w:rsid w:val="00486C90"/>
    <w:rsid w:val="00487E3D"/>
    <w:rsid w:val="00490BD7"/>
    <w:rsid w:val="00492191"/>
    <w:rsid w:val="0049391F"/>
    <w:rsid w:val="00496A19"/>
    <w:rsid w:val="00496DC0"/>
    <w:rsid w:val="00496DE8"/>
    <w:rsid w:val="004974D0"/>
    <w:rsid w:val="004A4B8C"/>
    <w:rsid w:val="004A6824"/>
    <w:rsid w:val="004B09EC"/>
    <w:rsid w:val="004B0CE7"/>
    <w:rsid w:val="004B5B94"/>
    <w:rsid w:val="004C161F"/>
    <w:rsid w:val="004C1893"/>
    <w:rsid w:val="004C45DE"/>
    <w:rsid w:val="004C5ABD"/>
    <w:rsid w:val="004C64A3"/>
    <w:rsid w:val="004C654C"/>
    <w:rsid w:val="004D238B"/>
    <w:rsid w:val="004D3CE6"/>
    <w:rsid w:val="004D44FD"/>
    <w:rsid w:val="004D475B"/>
    <w:rsid w:val="004D4C17"/>
    <w:rsid w:val="004E031A"/>
    <w:rsid w:val="004E0E0F"/>
    <w:rsid w:val="004E28B0"/>
    <w:rsid w:val="004E598F"/>
    <w:rsid w:val="004E7D8D"/>
    <w:rsid w:val="004F013D"/>
    <w:rsid w:val="004F0214"/>
    <w:rsid w:val="004F1CA6"/>
    <w:rsid w:val="004F3908"/>
    <w:rsid w:val="004F70B1"/>
    <w:rsid w:val="004F7674"/>
    <w:rsid w:val="004F78C1"/>
    <w:rsid w:val="00502236"/>
    <w:rsid w:val="005027D2"/>
    <w:rsid w:val="00502D0B"/>
    <w:rsid w:val="00503AC4"/>
    <w:rsid w:val="00505D47"/>
    <w:rsid w:val="00507103"/>
    <w:rsid w:val="005110AC"/>
    <w:rsid w:val="00513D2A"/>
    <w:rsid w:val="00514387"/>
    <w:rsid w:val="005152D5"/>
    <w:rsid w:val="0051624E"/>
    <w:rsid w:val="005173CA"/>
    <w:rsid w:val="005174A3"/>
    <w:rsid w:val="00521961"/>
    <w:rsid w:val="00522256"/>
    <w:rsid w:val="00523234"/>
    <w:rsid w:val="005244F1"/>
    <w:rsid w:val="00526D39"/>
    <w:rsid w:val="005304FB"/>
    <w:rsid w:val="0053059C"/>
    <w:rsid w:val="00533373"/>
    <w:rsid w:val="00536E59"/>
    <w:rsid w:val="0054153D"/>
    <w:rsid w:val="00543D44"/>
    <w:rsid w:val="00543DD9"/>
    <w:rsid w:val="005442A6"/>
    <w:rsid w:val="00546964"/>
    <w:rsid w:val="00547753"/>
    <w:rsid w:val="00547C33"/>
    <w:rsid w:val="00547D90"/>
    <w:rsid w:val="005501E7"/>
    <w:rsid w:val="00551C56"/>
    <w:rsid w:val="00552573"/>
    <w:rsid w:val="00553147"/>
    <w:rsid w:val="005534CA"/>
    <w:rsid w:val="00553BD9"/>
    <w:rsid w:val="005558A1"/>
    <w:rsid w:val="00555F9A"/>
    <w:rsid w:val="0055702D"/>
    <w:rsid w:val="00557054"/>
    <w:rsid w:val="00557BD9"/>
    <w:rsid w:val="0056137F"/>
    <w:rsid w:val="005621AB"/>
    <w:rsid w:val="005625A8"/>
    <w:rsid w:val="00564729"/>
    <w:rsid w:val="00566434"/>
    <w:rsid w:val="005675C1"/>
    <w:rsid w:val="005700D9"/>
    <w:rsid w:val="005701E8"/>
    <w:rsid w:val="005704B1"/>
    <w:rsid w:val="00570906"/>
    <w:rsid w:val="00572292"/>
    <w:rsid w:val="00573EA9"/>
    <w:rsid w:val="0057520B"/>
    <w:rsid w:val="00575A54"/>
    <w:rsid w:val="00576F9D"/>
    <w:rsid w:val="005771D6"/>
    <w:rsid w:val="00580744"/>
    <w:rsid w:val="00581BBC"/>
    <w:rsid w:val="0058279D"/>
    <w:rsid w:val="0058415A"/>
    <w:rsid w:val="005844AB"/>
    <w:rsid w:val="005847D1"/>
    <w:rsid w:val="00587632"/>
    <w:rsid w:val="0058791B"/>
    <w:rsid w:val="0059338C"/>
    <w:rsid w:val="00593A46"/>
    <w:rsid w:val="005941BC"/>
    <w:rsid w:val="00597826"/>
    <w:rsid w:val="005A0C68"/>
    <w:rsid w:val="005A1449"/>
    <w:rsid w:val="005A1F0D"/>
    <w:rsid w:val="005A2FF6"/>
    <w:rsid w:val="005A51A3"/>
    <w:rsid w:val="005A5EF4"/>
    <w:rsid w:val="005A7208"/>
    <w:rsid w:val="005B01D6"/>
    <w:rsid w:val="005B06C2"/>
    <w:rsid w:val="005B3603"/>
    <w:rsid w:val="005B5559"/>
    <w:rsid w:val="005B7CE9"/>
    <w:rsid w:val="005C1598"/>
    <w:rsid w:val="005C1C38"/>
    <w:rsid w:val="005C2C78"/>
    <w:rsid w:val="005C473D"/>
    <w:rsid w:val="005C4795"/>
    <w:rsid w:val="005C653E"/>
    <w:rsid w:val="005C7FF0"/>
    <w:rsid w:val="005D6B62"/>
    <w:rsid w:val="005E03C0"/>
    <w:rsid w:val="005E1495"/>
    <w:rsid w:val="005E4122"/>
    <w:rsid w:val="005E6B7F"/>
    <w:rsid w:val="005E6EE9"/>
    <w:rsid w:val="005F1158"/>
    <w:rsid w:val="005F1600"/>
    <w:rsid w:val="005F2238"/>
    <w:rsid w:val="005F264F"/>
    <w:rsid w:val="005F450A"/>
    <w:rsid w:val="005F4F15"/>
    <w:rsid w:val="005F5738"/>
    <w:rsid w:val="00605DC8"/>
    <w:rsid w:val="00606DF8"/>
    <w:rsid w:val="00607FA2"/>
    <w:rsid w:val="00612D11"/>
    <w:rsid w:val="00616AF1"/>
    <w:rsid w:val="0061798A"/>
    <w:rsid w:val="00620A3E"/>
    <w:rsid w:val="00621A89"/>
    <w:rsid w:val="0062204D"/>
    <w:rsid w:val="006236E9"/>
    <w:rsid w:val="00624F73"/>
    <w:rsid w:val="00624FA1"/>
    <w:rsid w:val="00630138"/>
    <w:rsid w:val="0063023F"/>
    <w:rsid w:val="00630AC1"/>
    <w:rsid w:val="00631E61"/>
    <w:rsid w:val="006341A7"/>
    <w:rsid w:val="00634EF4"/>
    <w:rsid w:val="0063517A"/>
    <w:rsid w:val="00635942"/>
    <w:rsid w:val="0063622D"/>
    <w:rsid w:val="00636C4F"/>
    <w:rsid w:val="00640C18"/>
    <w:rsid w:val="00640F8E"/>
    <w:rsid w:val="006411AE"/>
    <w:rsid w:val="00641269"/>
    <w:rsid w:val="006414B7"/>
    <w:rsid w:val="006426CF"/>
    <w:rsid w:val="00645743"/>
    <w:rsid w:val="00645D15"/>
    <w:rsid w:val="0064713D"/>
    <w:rsid w:val="0065112F"/>
    <w:rsid w:val="006561CF"/>
    <w:rsid w:val="006567BC"/>
    <w:rsid w:val="00661664"/>
    <w:rsid w:val="00662535"/>
    <w:rsid w:val="00663CAC"/>
    <w:rsid w:val="006721CC"/>
    <w:rsid w:val="00674C12"/>
    <w:rsid w:val="0067784E"/>
    <w:rsid w:val="00681DA9"/>
    <w:rsid w:val="00681F09"/>
    <w:rsid w:val="00682D4F"/>
    <w:rsid w:val="00682F7C"/>
    <w:rsid w:val="00683CC2"/>
    <w:rsid w:val="0068761B"/>
    <w:rsid w:val="00687F4E"/>
    <w:rsid w:val="00690B19"/>
    <w:rsid w:val="00691D05"/>
    <w:rsid w:val="006929DF"/>
    <w:rsid w:val="00692B00"/>
    <w:rsid w:val="00694ED3"/>
    <w:rsid w:val="006955EB"/>
    <w:rsid w:val="00695FBC"/>
    <w:rsid w:val="0069646E"/>
    <w:rsid w:val="00696F69"/>
    <w:rsid w:val="006972F1"/>
    <w:rsid w:val="006A2D88"/>
    <w:rsid w:val="006A3F45"/>
    <w:rsid w:val="006A436F"/>
    <w:rsid w:val="006A7972"/>
    <w:rsid w:val="006B08B1"/>
    <w:rsid w:val="006B1ACF"/>
    <w:rsid w:val="006B2625"/>
    <w:rsid w:val="006B32A6"/>
    <w:rsid w:val="006B40C6"/>
    <w:rsid w:val="006B42F9"/>
    <w:rsid w:val="006B5439"/>
    <w:rsid w:val="006B54D5"/>
    <w:rsid w:val="006B57A5"/>
    <w:rsid w:val="006B7662"/>
    <w:rsid w:val="006B79F6"/>
    <w:rsid w:val="006C31CA"/>
    <w:rsid w:val="006C4841"/>
    <w:rsid w:val="006C6538"/>
    <w:rsid w:val="006C7E25"/>
    <w:rsid w:val="006D09D5"/>
    <w:rsid w:val="006D26A7"/>
    <w:rsid w:val="006D3350"/>
    <w:rsid w:val="006D3860"/>
    <w:rsid w:val="006D4398"/>
    <w:rsid w:val="006D4E85"/>
    <w:rsid w:val="006D50E8"/>
    <w:rsid w:val="006D658C"/>
    <w:rsid w:val="006D679D"/>
    <w:rsid w:val="006E2632"/>
    <w:rsid w:val="006E303D"/>
    <w:rsid w:val="006E3BEC"/>
    <w:rsid w:val="006E5133"/>
    <w:rsid w:val="006E5C65"/>
    <w:rsid w:val="006E5DB9"/>
    <w:rsid w:val="006E5F92"/>
    <w:rsid w:val="006E6C2A"/>
    <w:rsid w:val="006F4779"/>
    <w:rsid w:val="006F55D8"/>
    <w:rsid w:val="006F75E6"/>
    <w:rsid w:val="0070109E"/>
    <w:rsid w:val="007019C1"/>
    <w:rsid w:val="00702B41"/>
    <w:rsid w:val="00702C0C"/>
    <w:rsid w:val="00704DDC"/>
    <w:rsid w:val="00706C26"/>
    <w:rsid w:val="00710135"/>
    <w:rsid w:val="0071131C"/>
    <w:rsid w:val="00714AAE"/>
    <w:rsid w:val="00715409"/>
    <w:rsid w:val="00716BA7"/>
    <w:rsid w:val="0072034D"/>
    <w:rsid w:val="00720F07"/>
    <w:rsid w:val="007217A3"/>
    <w:rsid w:val="00722644"/>
    <w:rsid w:val="00724FCB"/>
    <w:rsid w:val="007254A2"/>
    <w:rsid w:val="00726FA2"/>
    <w:rsid w:val="00727A96"/>
    <w:rsid w:val="00727C50"/>
    <w:rsid w:val="00732522"/>
    <w:rsid w:val="00733C8A"/>
    <w:rsid w:val="0074054A"/>
    <w:rsid w:val="00741174"/>
    <w:rsid w:val="00741D72"/>
    <w:rsid w:val="007440EA"/>
    <w:rsid w:val="00744A4B"/>
    <w:rsid w:val="00744BE8"/>
    <w:rsid w:val="007504BB"/>
    <w:rsid w:val="0075240B"/>
    <w:rsid w:val="0075271A"/>
    <w:rsid w:val="00754E20"/>
    <w:rsid w:val="00754F4A"/>
    <w:rsid w:val="0075544B"/>
    <w:rsid w:val="00755670"/>
    <w:rsid w:val="007571BE"/>
    <w:rsid w:val="007577CE"/>
    <w:rsid w:val="00760D56"/>
    <w:rsid w:val="007617B4"/>
    <w:rsid w:val="00764813"/>
    <w:rsid w:val="00765DE7"/>
    <w:rsid w:val="007676F1"/>
    <w:rsid w:val="00770D8F"/>
    <w:rsid w:val="00771F4D"/>
    <w:rsid w:val="00773058"/>
    <w:rsid w:val="00776EFE"/>
    <w:rsid w:val="00780519"/>
    <w:rsid w:val="00780B32"/>
    <w:rsid w:val="007814A7"/>
    <w:rsid w:val="00782021"/>
    <w:rsid w:val="007822DB"/>
    <w:rsid w:val="00783325"/>
    <w:rsid w:val="00783441"/>
    <w:rsid w:val="00783D09"/>
    <w:rsid w:val="00785008"/>
    <w:rsid w:val="007852E3"/>
    <w:rsid w:val="007855C9"/>
    <w:rsid w:val="007856D1"/>
    <w:rsid w:val="00785F37"/>
    <w:rsid w:val="0078779E"/>
    <w:rsid w:val="00790992"/>
    <w:rsid w:val="00792044"/>
    <w:rsid w:val="00793F52"/>
    <w:rsid w:val="0079548B"/>
    <w:rsid w:val="00796F3A"/>
    <w:rsid w:val="00797C45"/>
    <w:rsid w:val="007A0661"/>
    <w:rsid w:val="007A1189"/>
    <w:rsid w:val="007A1E19"/>
    <w:rsid w:val="007A4C41"/>
    <w:rsid w:val="007A4E23"/>
    <w:rsid w:val="007A513E"/>
    <w:rsid w:val="007A5A4C"/>
    <w:rsid w:val="007A6516"/>
    <w:rsid w:val="007A6B03"/>
    <w:rsid w:val="007B0745"/>
    <w:rsid w:val="007B0B34"/>
    <w:rsid w:val="007B1328"/>
    <w:rsid w:val="007B1720"/>
    <w:rsid w:val="007B1FC8"/>
    <w:rsid w:val="007B43CE"/>
    <w:rsid w:val="007B44A2"/>
    <w:rsid w:val="007B4B69"/>
    <w:rsid w:val="007B5F17"/>
    <w:rsid w:val="007B60D6"/>
    <w:rsid w:val="007B6634"/>
    <w:rsid w:val="007C13B0"/>
    <w:rsid w:val="007C1E08"/>
    <w:rsid w:val="007C3CDA"/>
    <w:rsid w:val="007C4946"/>
    <w:rsid w:val="007C6859"/>
    <w:rsid w:val="007C7BFE"/>
    <w:rsid w:val="007D16B2"/>
    <w:rsid w:val="007D1743"/>
    <w:rsid w:val="007D1F2D"/>
    <w:rsid w:val="007D2F91"/>
    <w:rsid w:val="007D30E0"/>
    <w:rsid w:val="007D4877"/>
    <w:rsid w:val="007D5598"/>
    <w:rsid w:val="007D6788"/>
    <w:rsid w:val="007E0BC0"/>
    <w:rsid w:val="007E1A85"/>
    <w:rsid w:val="007E49AD"/>
    <w:rsid w:val="007E5BF6"/>
    <w:rsid w:val="007E7531"/>
    <w:rsid w:val="007F2250"/>
    <w:rsid w:val="007F23C4"/>
    <w:rsid w:val="007F2A0A"/>
    <w:rsid w:val="007F3915"/>
    <w:rsid w:val="007F56B1"/>
    <w:rsid w:val="007F6670"/>
    <w:rsid w:val="007F6ED8"/>
    <w:rsid w:val="008024B0"/>
    <w:rsid w:val="00804E92"/>
    <w:rsid w:val="008113F7"/>
    <w:rsid w:val="00811F23"/>
    <w:rsid w:val="00814159"/>
    <w:rsid w:val="0081506D"/>
    <w:rsid w:val="00815E36"/>
    <w:rsid w:val="0081710E"/>
    <w:rsid w:val="00817511"/>
    <w:rsid w:val="00817BD0"/>
    <w:rsid w:val="00821810"/>
    <w:rsid w:val="00822858"/>
    <w:rsid w:val="00823348"/>
    <w:rsid w:val="00823F9F"/>
    <w:rsid w:val="008247D1"/>
    <w:rsid w:val="00825199"/>
    <w:rsid w:val="0082623A"/>
    <w:rsid w:val="0082633B"/>
    <w:rsid w:val="00832D86"/>
    <w:rsid w:val="00833AB4"/>
    <w:rsid w:val="00835CDE"/>
    <w:rsid w:val="00840C1D"/>
    <w:rsid w:val="00843F5D"/>
    <w:rsid w:val="00845402"/>
    <w:rsid w:val="00845798"/>
    <w:rsid w:val="00846560"/>
    <w:rsid w:val="00850E41"/>
    <w:rsid w:val="00852AEA"/>
    <w:rsid w:val="008545A9"/>
    <w:rsid w:val="00854A05"/>
    <w:rsid w:val="00854EF9"/>
    <w:rsid w:val="0085531A"/>
    <w:rsid w:val="00857429"/>
    <w:rsid w:val="00861FB1"/>
    <w:rsid w:val="0086527A"/>
    <w:rsid w:val="008656D5"/>
    <w:rsid w:val="00865829"/>
    <w:rsid w:val="00865D36"/>
    <w:rsid w:val="0086639E"/>
    <w:rsid w:val="00866716"/>
    <w:rsid w:val="00867CA6"/>
    <w:rsid w:val="00871655"/>
    <w:rsid w:val="00875010"/>
    <w:rsid w:val="00876E6D"/>
    <w:rsid w:val="00877816"/>
    <w:rsid w:val="0088218F"/>
    <w:rsid w:val="008825F8"/>
    <w:rsid w:val="0088297F"/>
    <w:rsid w:val="00882CA4"/>
    <w:rsid w:val="00883915"/>
    <w:rsid w:val="008839D5"/>
    <w:rsid w:val="00883A40"/>
    <w:rsid w:val="00884217"/>
    <w:rsid w:val="008844D1"/>
    <w:rsid w:val="008852D2"/>
    <w:rsid w:val="008853F3"/>
    <w:rsid w:val="00886713"/>
    <w:rsid w:val="0088686A"/>
    <w:rsid w:val="00886D74"/>
    <w:rsid w:val="00886DF0"/>
    <w:rsid w:val="00890930"/>
    <w:rsid w:val="008918A1"/>
    <w:rsid w:val="00893C5F"/>
    <w:rsid w:val="0089585C"/>
    <w:rsid w:val="008976EB"/>
    <w:rsid w:val="008A0D44"/>
    <w:rsid w:val="008A1330"/>
    <w:rsid w:val="008A2B11"/>
    <w:rsid w:val="008A3C9F"/>
    <w:rsid w:val="008A63B7"/>
    <w:rsid w:val="008A72F3"/>
    <w:rsid w:val="008A770B"/>
    <w:rsid w:val="008B20AA"/>
    <w:rsid w:val="008B4262"/>
    <w:rsid w:val="008B46C5"/>
    <w:rsid w:val="008B5F5C"/>
    <w:rsid w:val="008B6465"/>
    <w:rsid w:val="008B7B1F"/>
    <w:rsid w:val="008C1B5B"/>
    <w:rsid w:val="008D26AB"/>
    <w:rsid w:val="008D2E4C"/>
    <w:rsid w:val="008D4E55"/>
    <w:rsid w:val="008D5550"/>
    <w:rsid w:val="008D603D"/>
    <w:rsid w:val="008D6250"/>
    <w:rsid w:val="008D7704"/>
    <w:rsid w:val="008D7EF2"/>
    <w:rsid w:val="008E0A57"/>
    <w:rsid w:val="008E11A2"/>
    <w:rsid w:val="008E1C10"/>
    <w:rsid w:val="008E2EC3"/>
    <w:rsid w:val="008E4FC8"/>
    <w:rsid w:val="008E54F6"/>
    <w:rsid w:val="008E7B40"/>
    <w:rsid w:val="008F0B2D"/>
    <w:rsid w:val="008F4150"/>
    <w:rsid w:val="008F5129"/>
    <w:rsid w:val="00900054"/>
    <w:rsid w:val="009001D0"/>
    <w:rsid w:val="0090143F"/>
    <w:rsid w:val="009014D5"/>
    <w:rsid w:val="00904A50"/>
    <w:rsid w:val="009055EF"/>
    <w:rsid w:val="00905B3A"/>
    <w:rsid w:val="00907F6E"/>
    <w:rsid w:val="00910504"/>
    <w:rsid w:val="009122C0"/>
    <w:rsid w:val="00912BA6"/>
    <w:rsid w:val="00914E35"/>
    <w:rsid w:val="00917290"/>
    <w:rsid w:val="0092057E"/>
    <w:rsid w:val="00920908"/>
    <w:rsid w:val="00920EA9"/>
    <w:rsid w:val="00921545"/>
    <w:rsid w:val="00922342"/>
    <w:rsid w:val="00923742"/>
    <w:rsid w:val="00927E3D"/>
    <w:rsid w:val="00930B85"/>
    <w:rsid w:val="00934052"/>
    <w:rsid w:val="00934518"/>
    <w:rsid w:val="00935A7C"/>
    <w:rsid w:val="00936591"/>
    <w:rsid w:val="0093688B"/>
    <w:rsid w:val="009374C2"/>
    <w:rsid w:val="009423BB"/>
    <w:rsid w:val="00943518"/>
    <w:rsid w:val="009439F6"/>
    <w:rsid w:val="00944B56"/>
    <w:rsid w:val="0094709D"/>
    <w:rsid w:val="00951C84"/>
    <w:rsid w:val="009530BA"/>
    <w:rsid w:val="00954F3B"/>
    <w:rsid w:val="00960E4A"/>
    <w:rsid w:val="00961477"/>
    <w:rsid w:val="009635F3"/>
    <w:rsid w:val="00964735"/>
    <w:rsid w:val="00964D86"/>
    <w:rsid w:val="0096572C"/>
    <w:rsid w:val="009659B9"/>
    <w:rsid w:val="00966ECD"/>
    <w:rsid w:val="00967781"/>
    <w:rsid w:val="00967879"/>
    <w:rsid w:val="009716B8"/>
    <w:rsid w:val="00971A44"/>
    <w:rsid w:val="00971D01"/>
    <w:rsid w:val="0097407A"/>
    <w:rsid w:val="00976EF4"/>
    <w:rsid w:val="00980811"/>
    <w:rsid w:val="00980FEA"/>
    <w:rsid w:val="00981BA3"/>
    <w:rsid w:val="00982B79"/>
    <w:rsid w:val="009860D0"/>
    <w:rsid w:val="00990A07"/>
    <w:rsid w:val="00991DD9"/>
    <w:rsid w:val="00992558"/>
    <w:rsid w:val="00992900"/>
    <w:rsid w:val="00993C7B"/>
    <w:rsid w:val="0099442C"/>
    <w:rsid w:val="00994C85"/>
    <w:rsid w:val="00994F2A"/>
    <w:rsid w:val="00996A71"/>
    <w:rsid w:val="009A007A"/>
    <w:rsid w:val="009A2D39"/>
    <w:rsid w:val="009A427E"/>
    <w:rsid w:val="009A51DE"/>
    <w:rsid w:val="009A5522"/>
    <w:rsid w:val="009A58F1"/>
    <w:rsid w:val="009B01EC"/>
    <w:rsid w:val="009B4118"/>
    <w:rsid w:val="009B703E"/>
    <w:rsid w:val="009C03FE"/>
    <w:rsid w:val="009C205E"/>
    <w:rsid w:val="009C459E"/>
    <w:rsid w:val="009C7C22"/>
    <w:rsid w:val="009D21CC"/>
    <w:rsid w:val="009D2590"/>
    <w:rsid w:val="009D3DC7"/>
    <w:rsid w:val="009D7F0F"/>
    <w:rsid w:val="009E2499"/>
    <w:rsid w:val="009E28B5"/>
    <w:rsid w:val="009E36AB"/>
    <w:rsid w:val="009E440B"/>
    <w:rsid w:val="009E58B1"/>
    <w:rsid w:val="009E75D8"/>
    <w:rsid w:val="009E7651"/>
    <w:rsid w:val="009F0079"/>
    <w:rsid w:val="009F0DB1"/>
    <w:rsid w:val="009F0E74"/>
    <w:rsid w:val="009F1CF7"/>
    <w:rsid w:val="009F4570"/>
    <w:rsid w:val="009F62B4"/>
    <w:rsid w:val="009F65BA"/>
    <w:rsid w:val="009F67EC"/>
    <w:rsid w:val="00A006F7"/>
    <w:rsid w:val="00A026D6"/>
    <w:rsid w:val="00A04C71"/>
    <w:rsid w:val="00A05FB1"/>
    <w:rsid w:val="00A06EEF"/>
    <w:rsid w:val="00A115F1"/>
    <w:rsid w:val="00A119BD"/>
    <w:rsid w:val="00A12A49"/>
    <w:rsid w:val="00A13D14"/>
    <w:rsid w:val="00A15340"/>
    <w:rsid w:val="00A16BCB"/>
    <w:rsid w:val="00A22414"/>
    <w:rsid w:val="00A23FD6"/>
    <w:rsid w:val="00A25B36"/>
    <w:rsid w:val="00A270FB"/>
    <w:rsid w:val="00A278DA"/>
    <w:rsid w:val="00A3000E"/>
    <w:rsid w:val="00A300DA"/>
    <w:rsid w:val="00A30435"/>
    <w:rsid w:val="00A312FC"/>
    <w:rsid w:val="00A316F4"/>
    <w:rsid w:val="00A31B93"/>
    <w:rsid w:val="00A33007"/>
    <w:rsid w:val="00A348E8"/>
    <w:rsid w:val="00A35519"/>
    <w:rsid w:val="00A35577"/>
    <w:rsid w:val="00A355DD"/>
    <w:rsid w:val="00A37488"/>
    <w:rsid w:val="00A378CF"/>
    <w:rsid w:val="00A411D0"/>
    <w:rsid w:val="00A41CB8"/>
    <w:rsid w:val="00A42F2E"/>
    <w:rsid w:val="00A43399"/>
    <w:rsid w:val="00A45F22"/>
    <w:rsid w:val="00A46BBB"/>
    <w:rsid w:val="00A504C9"/>
    <w:rsid w:val="00A50E14"/>
    <w:rsid w:val="00A54082"/>
    <w:rsid w:val="00A56FE2"/>
    <w:rsid w:val="00A57222"/>
    <w:rsid w:val="00A64CB3"/>
    <w:rsid w:val="00A6526E"/>
    <w:rsid w:val="00A657EE"/>
    <w:rsid w:val="00A65E42"/>
    <w:rsid w:val="00A6747E"/>
    <w:rsid w:val="00A7358C"/>
    <w:rsid w:val="00A7422A"/>
    <w:rsid w:val="00A776E4"/>
    <w:rsid w:val="00A82C46"/>
    <w:rsid w:val="00A82F17"/>
    <w:rsid w:val="00A83759"/>
    <w:rsid w:val="00A83A2D"/>
    <w:rsid w:val="00A83FAA"/>
    <w:rsid w:val="00A841AD"/>
    <w:rsid w:val="00A8670B"/>
    <w:rsid w:val="00A878A0"/>
    <w:rsid w:val="00A91707"/>
    <w:rsid w:val="00A93439"/>
    <w:rsid w:val="00A93C7C"/>
    <w:rsid w:val="00A942C8"/>
    <w:rsid w:val="00A94E75"/>
    <w:rsid w:val="00A95702"/>
    <w:rsid w:val="00AA028E"/>
    <w:rsid w:val="00AA0B2B"/>
    <w:rsid w:val="00AA0D3E"/>
    <w:rsid w:val="00AA1B9E"/>
    <w:rsid w:val="00AA2727"/>
    <w:rsid w:val="00AA3BA1"/>
    <w:rsid w:val="00AA46AE"/>
    <w:rsid w:val="00AA7775"/>
    <w:rsid w:val="00AA79A9"/>
    <w:rsid w:val="00AB26AC"/>
    <w:rsid w:val="00AB2896"/>
    <w:rsid w:val="00AB30F5"/>
    <w:rsid w:val="00AB31BE"/>
    <w:rsid w:val="00AB5C53"/>
    <w:rsid w:val="00AB6BE6"/>
    <w:rsid w:val="00AC01FF"/>
    <w:rsid w:val="00AC2C13"/>
    <w:rsid w:val="00AC5A5F"/>
    <w:rsid w:val="00AC67FE"/>
    <w:rsid w:val="00AC740F"/>
    <w:rsid w:val="00AD1110"/>
    <w:rsid w:val="00AD1313"/>
    <w:rsid w:val="00AD1E60"/>
    <w:rsid w:val="00AD43A6"/>
    <w:rsid w:val="00AD4F86"/>
    <w:rsid w:val="00AD4F88"/>
    <w:rsid w:val="00AD7334"/>
    <w:rsid w:val="00AE0DDC"/>
    <w:rsid w:val="00AE401D"/>
    <w:rsid w:val="00AE4242"/>
    <w:rsid w:val="00AE4780"/>
    <w:rsid w:val="00AE5FFE"/>
    <w:rsid w:val="00AE7F2E"/>
    <w:rsid w:val="00AF007D"/>
    <w:rsid w:val="00AF0741"/>
    <w:rsid w:val="00AF0F14"/>
    <w:rsid w:val="00AF2C7A"/>
    <w:rsid w:val="00AF61E6"/>
    <w:rsid w:val="00B01CD7"/>
    <w:rsid w:val="00B01F1D"/>
    <w:rsid w:val="00B02439"/>
    <w:rsid w:val="00B04523"/>
    <w:rsid w:val="00B04B9E"/>
    <w:rsid w:val="00B04D0E"/>
    <w:rsid w:val="00B04FB6"/>
    <w:rsid w:val="00B05464"/>
    <w:rsid w:val="00B06968"/>
    <w:rsid w:val="00B12110"/>
    <w:rsid w:val="00B1254D"/>
    <w:rsid w:val="00B130C6"/>
    <w:rsid w:val="00B134A6"/>
    <w:rsid w:val="00B135E0"/>
    <w:rsid w:val="00B17A79"/>
    <w:rsid w:val="00B211F7"/>
    <w:rsid w:val="00B2218A"/>
    <w:rsid w:val="00B224E9"/>
    <w:rsid w:val="00B2268F"/>
    <w:rsid w:val="00B22711"/>
    <w:rsid w:val="00B23C82"/>
    <w:rsid w:val="00B24EBC"/>
    <w:rsid w:val="00B26450"/>
    <w:rsid w:val="00B27009"/>
    <w:rsid w:val="00B27D8F"/>
    <w:rsid w:val="00B300F9"/>
    <w:rsid w:val="00B335D6"/>
    <w:rsid w:val="00B3722A"/>
    <w:rsid w:val="00B4256F"/>
    <w:rsid w:val="00B4297D"/>
    <w:rsid w:val="00B42FE6"/>
    <w:rsid w:val="00B437F2"/>
    <w:rsid w:val="00B43E1A"/>
    <w:rsid w:val="00B43EC6"/>
    <w:rsid w:val="00B446C2"/>
    <w:rsid w:val="00B46E7E"/>
    <w:rsid w:val="00B50A9B"/>
    <w:rsid w:val="00B546C6"/>
    <w:rsid w:val="00B551DB"/>
    <w:rsid w:val="00B62591"/>
    <w:rsid w:val="00B6677F"/>
    <w:rsid w:val="00B66C02"/>
    <w:rsid w:val="00B67CCB"/>
    <w:rsid w:val="00B67CDD"/>
    <w:rsid w:val="00B7173E"/>
    <w:rsid w:val="00B76C49"/>
    <w:rsid w:val="00B8134C"/>
    <w:rsid w:val="00B8231E"/>
    <w:rsid w:val="00B844D6"/>
    <w:rsid w:val="00B85004"/>
    <w:rsid w:val="00B855A7"/>
    <w:rsid w:val="00B876E4"/>
    <w:rsid w:val="00B93049"/>
    <w:rsid w:val="00B9354D"/>
    <w:rsid w:val="00B93A3E"/>
    <w:rsid w:val="00B93CD4"/>
    <w:rsid w:val="00B945C3"/>
    <w:rsid w:val="00B94DEE"/>
    <w:rsid w:val="00B956BA"/>
    <w:rsid w:val="00B9583F"/>
    <w:rsid w:val="00B95BDC"/>
    <w:rsid w:val="00B96038"/>
    <w:rsid w:val="00B96DDE"/>
    <w:rsid w:val="00B97461"/>
    <w:rsid w:val="00B97EA3"/>
    <w:rsid w:val="00BA40B1"/>
    <w:rsid w:val="00BA473B"/>
    <w:rsid w:val="00BA5877"/>
    <w:rsid w:val="00BA6B9C"/>
    <w:rsid w:val="00BB177B"/>
    <w:rsid w:val="00BB2144"/>
    <w:rsid w:val="00BB337E"/>
    <w:rsid w:val="00BB3700"/>
    <w:rsid w:val="00BB39ED"/>
    <w:rsid w:val="00BB47B6"/>
    <w:rsid w:val="00BB496F"/>
    <w:rsid w:val="00BB72CC"/>
    <w:rsid w:val="00BC21B9"/>
    <w:rsid w:val="00BC21BD"/>
    <w:rsid w:val="00BC31B2"/>
    <w:rsid w:val="00BC546C"/>
    <w:rsid w:val="00BC5535"/>
    <w:rsid w:val="00BC6678"/>
    <w:rsid w:val="00BC6774"/>
    <w:rsid w:val="00BC69C9"/>
    <w:rsid w:val="00BD0177"/>
    <w:rsid w:val="00BD10E9"/>
    <w:rsid w:val="00BD1A48"/>
    <w:rsid w:val="00BD24BA"/>
    <w:rsid w:val="00BD25DC"/>
    <w:rsid w:val="00BD468B"/>
    <w:rsid w:val="00BD48A3"/>
    <w:rsid w:val="00BD4CC8"/>
    <w:rsid w:val="00BD4EE7"/>
    <w:rsid w:val="00BD6F18"/>
    <w:rsid w:val="00BE018B"/>
    <w:rsid w:val="00BE2C56"/>
    <w:rsid w:val="00BE68E4"/>
    <w:rsid w:val="00BE7F01"/>
    <w:rsid w:val="00BF0CAE"/>
    <w:rsid w:val="00BF2F8A"/>
    <w:rsid w:val="00BF5BC4"/>
    <w:rsid w:val="00BF6FD4"/>
    <w:rsid w:val="00C00FD1"/>
    <w:rsid w:val="00C01148"/>
    <w:rsid w:val="00C020EC"/>
    <w:rsid w:val="00C024B5"/>
    <w:rsid w:val="00C03E15"/>
    <w:rsid w:val="00C0430F"/>
    <w:rsid w:val="00C04377"/>
    <w:rsid w:val="00C049F3"/>
    <w:rsid w:val="00C06629"/>
    <w:rsid w:val="00C06D1E"/>
    <w:rsid w:val="00C1561E"/>
    <w:rsid w:val="00C16678"/>
    <w:rsid w:val="00C20262"/>
    <w:rsid w:val="00C21AA3"/>
    <w:rsid w:val="00C21D5D"/>
    <w:rsid w:val="00C23352"/>
    <w:rsid w:val="00C23A8E"/>
    <w:rsid w:val="00C2448F"/>
    <w:rsid w:val="00C25C28"/>
    <w:rsid w:val="00C2627D"/>
    <w:rsid w:val="00C315F4"/>
    <w:rsid w:val="00C339E3"/>
    <w:rsid w:val="00C33C7F"/>
    <w:rsid w:val="00C358A1"/>
    <w:rsid w:val="00C375DF"/>
    <w:rsid w:val="00C378BA"/>
    <w:rsid w:val="00C4019E"/>
    <w:rsid w:val="00C425D2"/>
    <w:rsid w:val="00C42BF5"/>
    <w:rsid w:val="00C434D8"/>
    <w:rsid w:val="00C43668"/>
    <w:rsid w:val="00C440EC"/>
    <w:rsid w:val="00C46DF9"/>
    <w:rsid w:val="00C50142"/>
    <w:rsid w:val="00C50FE7"/>
    <w:rsid w:val="00C52C73"/>
    <w:rsid w:val="00C63D4C"/>
    <w:rsid w:val="00C63D4D"/>
    <w:rsid w:val="00C66220"/>
    <w:rsid w:val="00C6783F"/>
    <w:rsid w:val="00C70747"/>
    <w:rsid w:val="00C7301E"/>
    <w:rsid w:val="00C735D8"/>
    <w:rsid w:val="00C74987"/>
    <w:rsid w:val="00C74A97"/>
    <w:rsid w:val="00C7544D"/>
    <w:rsid w:val="00C75AD2"/>
    <w:rsid w:val="00C75BAE"/>
    <w:rsid w:val="00C7606F"/>
    <w:rsid w:val="00C76788"/>
    <w:rsid w:val="00C815DC"/>
    <w:rsid w:val="00C84084"/>
    <w:rsid w:val="00C843A0"/>
    <w:rsid w:val="00C86113"/>
    <w:rsid w:val="00C86D1D"/>
    <w:rsid w:val="00C91057"/>
    <w:rsid w:val="00C91352"/>
    <w:rsid w:val="00C91A54"/>
    <w:rsid w:val="00C91E47"/>
    <w:rsid w:val="00C925E0"/>
    <w:rsid w:val="00C931E4"/>
    <w:rsid w:val="00C93A68"/>
    <w:rsid w:val="00C94D52"/>
    <w:rsid w:val="00C95DB4"/>
    <w:rsid w:val="00C9740D"/>
    <w:rsid w:val="00CA1478"/>
    <w:rsid w:val="00CA2F0B"/>
    <w:rsid w:val="00CA336C"/>
    <w:rsid w:val="00CA6D05"/>
    <w:rsid w:val="00CB1700"/>
    <w:rsid w:val="00CB2789"/>
    <w:rsid w:val="00CB3237"/>
    <w:rsid w:val="00CB3275"/>
    <w:rsid w:val="00CB6D09"/>
    <w:rsid w:val="00CB7E31"/>
    <w:rsid w:val="00CC1B51"/>
    <w:rsid w:val="00CC367B"/>
    <w:rsid w:val="00CC42FC"/>
    <w:rsid w:val="00CC4799"/>
    <w:rsid w:val="00CC4E93"/>
    <w:rsid w:val="00CC5367"/>
    <w:rsid w:val="00CC570D"/>
    <w:rsid w:val="00CC5DBF"/>
    <w:rsid w:val="00CC67D6"/>
    <w:rsid w:val="00CC6D20"/>
    <w:rsid w:val="00CC74B4"/>
    <w:rsid w:val="00CD0A01"/>
    <w:rsid w:val="00CD14BB"/>
    <w:rsid w:val="00CD1AA3"/>
    <w:rsid w:val="00CD2C27"/>
    <w:rsid w:val="00CD4687"/>
    <w:rsid w:val="00CD4891"/>
    <w:rsid w:val="00CD7AE9"/>
    <w:rsid w:val="00CD7F42"/>
    <w:rsid w:val="00CE2D64"/>
    <w:rsid w:val="00CE358C"/>
    <w:rsid w:val="00CE52E7"/>
    <w:rsid w:val="00CE5EC3"/>
    <w:rsid w:val="00CF0B8E"/>
    <w:rsid w:val="00CF41DF"/>
    <w:rsid w:val="00CF6E51"/>
    <w:rsid w:val="00CF7811"/>
    <w:rsid w:val="00CF7C17"/>
    <w:rsid w:val="00D001CF"/>
    <w:rsid w:val="00D0461A"/>
    <w:rsid w:val="00D049FC"/>
    <w:rsid w:val="00D05F37"/>
    <w:rsid w:val="00D0691D"/>
    <w:rsid w:val="00D0776E"/>
    <w:rsid w:val="00D10DB2"/>
    <w:rsid w:val="00D144CD"/>
    <w:rsid w:val="00D15338"/>
    <w:rsid w:val="00D16D7D"/>
    <w:rsid w:val="00D173A7"/>
    <w:rsid w:val="00D201AD"/>
    <w:rsid w:val="00D201C7"/>
    <w:rsid w:val="00D20C27"/>
    <w:rsid w:val="00D218AF"/>
    <w:rsid w:val="00D220D8"/>
    <w:rsid w:val="00D24503"/>
    <w:rsid w:val="00D260A1"/>
    <w:rsid w:val="00D27515"/>
    <w:rsid w:val="00D27716"/>
    <w:rsid w:val="00D30584"/>
    <w:rsid w:val="00D31018"/>
    <w:rsid w:val="00D313FF"/>
    <w:rsid w:val="00D34AFC"/>
    <w:rsid w:val="00D36564"/>
    <w:rsid w:val="00D3724A"/>
    <w:rsid w:val="00D3735E"/>
    <w:rsid w:val="00D406DE"/>
    <w:rsid w:val="00D41D91"/>
    <w:rsid w:val="00D423A7"/>
    <w:rsid w:val="00D44700"/>
    <w:rsid w:val="00D44EB8"/>
    <w:rsid w:val="00D451B6"/>
    <w:rsid w:val="00D46AA3"/>
    <w:rsid w:val="00D470F6"/>
    <w:rsid w:val="00D47233"/>
    <w:rsid w:val="00D47EB8"/>
    <w:rsid w:val="00D51B31"/>
    <w:rsid w:val="00D54A60"/>
    <w:rsid w:val="00D56042"/>
    <w:rsid w:val="00D5605E"/>
    <w:rsid w:val="00D571A5"/>
    <w:rsid w:val="00D57C5E"/>
    <w:rsid w:val="00D60FB5"/>
    <w:rsid w:val="00D610E3"/>
    <w:rsid w:val="00D61943"/>
    <w:rsid w:val="00D62DF8"/>
    <w:rsid w:val="00D63BBC"/>
    <w:rsid w:val="00D63E27"/>
    <w:rsid w:val="00D670A6"/>
    <w:rsid w:val="00D67863"/>
    <w:rsid w:val="00D7486E"/>
    <w:rsid w:val="00D7585A"/>
    <w:rsid w:val="00D7649E"/>
    <w:rsid w:val="00D77504"/>
    <w:rsid w:val="00D777B0"/>
    <w:rsid w:val="00D80A55"/>
    <w:rsid w:val="00D80E2B"/>
    <w:rsid w:val="00D830AD"/>
    <w:rsid w:val="00D8370A"/>
    <w:rsid w:val="00D85F03"/>
    <w:rsid w:val="00D866D1"/>
    <w:rsid w:val="00D86EA4"/>
    <w:rsid w:val="00D90C69"/>
    <w:rsid w:val="00D92D0B"/>
    <w:rsid w:val="00D96212"/>
    <w:rsid w:val="00D9659C"/>
    <w:rsid w:val="00DA0B4A"/>
    <w:rsid w:val="00DA1FF1"/>
    <w:rsid w:val="00DA22F2"/>
    <w:rsid w:val="00DA4208"/>
    <w:rsid w:val="00DA48DD"/>
    <w:rsid w:val="00DA526B"/>
    <w:rsid w:val="00DA63EC"/>
    <w:rsid w:val="00DA6AD7"/>
    <w:rsid w:val="00DB0B93"/>
    <w:rsid w:val="00DB19FD"/>
    <w:rsid w:val="00DB2BAC"/>
    <w:rsid w:val="00DB747A"/>
    <w:rsid w:val="00DC05C5"/>
    <w:rsid w:val="00DC0A46"/>
    <w:rsid w:val="00DC1CF6"/>
    <w:rsid w:val="00DC1FCB"/>
    <w:rsid w:val="00DC228B"/>
    <w:rsid w:val="00DC2ABC"/>
    <w:rsid w:val="00DC5956"/>
    <w:rsid w:val="00DD0CC7"/>
    <w:rsid w:val="00DD2B3C"/>
    <w:rsid w:val="00DD325C"/>
    <w:rsid w:val="00DD39EF"/>
    <w:rsid w:val="00DD463D"/>
    <w:rsid w:val="00DD4921"/>
    <w:rsid w:val="00DD4F47"/>
    <w:rsid w:val="00DD5343"/>
    <w:rsid w:val="00DD5AB8"/>
    <w:rsid w:val="00DD5CB4"/>
    <w:rsid w:val="00DE0076"/>
    <w:rsid w:val="00DE06B7"/>
    <w:rsid w:val="00DE17D2"/>
    <w:rsid w:val="00DE23A5"/>
    <w:rsid w:val="00DE4349"/>
    <w:rsid w:val="00DE4ACB"/>
    <w:rsid w:val="00DE4D66"/>
    <w:rsid w:val="00DE5A70"/>
    <w:rsid w:val="00DE5D1E"/>
    <w:rsid w:val="00DF09F7"/>
    <w:rsid w:val="00DF37AE"/>
    <w:rsid w:val="00DF577E"/>
    <w:rsid w:val="00DF596F"/>
    <w:rsid w:val="00DF7226"/>
    <w:rsid w:val="00DF77A3"/>
    <w:rsid w:val="00E02545"/>
    <w:rsid w:val="00E03664"/>
    <w:rsid w:val="00E042A5"/>
    <w:rsid w:val="00E12192"/>
    <w:rsid w:val="00E130FB"/>
    <w:rsid w:val="00E13331"/>
    <w:rsid w:val="00E134FC"/>
    <w:rsid w:val="00E13703"/>
    <w:rsid w:val="00E16C95"/>
    <w:rsid w:val="00E20600"/>
    <w:rsid w:val="00E20915"/>
    <w:rsid w:val="00E22C50"/>
    <w:rsid w:val="00E23100"/>
    <w:rsid w:val="00E249AF"/>
    <w:rsid w:val="00E26444"/>
    <w:rsid w:val="00E265FC"/>
    <w:rsid w:val="00E3002E"/>
    <w:rsid w:val="00E30F99"/>
    <w:rsid w:val="00E324E0"/>
    <w:rsid w:val="00E32B31"/>
    <w:rsid w:val="00E32D92"/>
    <w:rsid w:val="00E351E4"/>
    <w:rsid w:val="00E368CE"/>
    <w:rsid w:val="00E45E39"/>
    <w:rsid w:val="00E46EBE"/>
    <w:rsid w:val="00E47BDA"/>
    <w:rsid w:val="00E5101A"/>
    <w:rsid w:val="00E51113"/>
    <w:rsid w:val="00E51451"/>
    <w:rsid w:val="00E52375"/>
    <w:rsid w:val="00E57742"/>
    <w:rsid w:val="00E57A10"/>
    <w:rsid w:val="00E60E89"/>
    <w:rsid w:val="00E619DD"/>
    <w:rsid w:val="00E64E15"/>
    <w:rsid w:val="00E711FB"/>
    <w:rsid w:val="00E82A9C"/>
    <w:rsid w:val="00E82C27"/>
    <w:rsid w:val="00E84BC6"/>
    <w:rsid w:val="00E85FDE"/>
    <w:rsid w:val="00E92764"/>
    <w:rsid w:val="00E93F0F"/>
    <w:rsid w:val="00E958CF"/>
    <w:rsid w:val="00EA0B91"/>
    <w:rsid w:val="00EA12A2"/>
    <w:rsid w:val="00EA1BDA"/>
    <w:rsid w:val="00EA26C2"/>
    <w:rsid w:val="00EA5A7D"/>
    <w:rsid w:val="00EA64EF"/>
    <w:rsid w:val="00EA76B8"/>
    <w:rsid w:val="00EB3FEE"/>
    <w:rsid w:val="00EB713D"/>
    <w:rsid w:val="00EB74C6"/>
    <w:rsid w:val="00EB7D54"/>
    <w:rsid w:val="00EC055B"/>
    <w:rsid w:val="00EC0748"/>
    <w:rsid w:val="00EC0BC8"/>
    <w:rsid w:val="00EC0D37"/>
    <w:rsid w:val="00EC21C2"/>
    <w:rsid w:val="00EC5203"/>
    <w:rsid w:val="00EC5D5F"/>
    <w:rsid w:val="00EC77A7"/>
    <w:rsid w:val="00EC79CC"/>
    <w:rsid w:val="00ED2081"/>
    <w:rsid w:val="00ED4008"/>
    <w:rsid w:val="00ED71A3"/>
    <w:rsid w:val="00EE15F3"/>
    <w:rsid w:val="00EE1B03"/>
    <w:rsid w:val="00EE4EED"/>
    <w:rsid w:val="00EE4F1D"/>
    <w:rsid w:val="00EE599F"/>
    <w:rsid w:val="00EE6886"/>
    <w:rsid w:val="00EF0C00"/>
    <w:rsid w:val="00EF2FA9"/>
    <w:rsid w:val="00EF3311"/>
    <w:rsid w:val="00EF3600"/>
    <w:rsid w:val="00EF468E"/>
    <w:rsid w:val="00EF68B9"/>
    <w:rsid w:val="00F00F6F"/>
    <w:rsid w:val="00F013DD"/>
    <w:rsid w:val="00F01D8E"/>
    <w:rsid w:val="00F0276F"/>
    <w:rsid w:val="00F03255"/>
    <w:rsid w:val="00F044C4"/>
    <w:rsid w:val="00F04878"/>
    <w:rsid w:val="00F06955"/>
    <w:rsid w:val="00F07578"/>
    <w:rsid w:val="00F1233D"/>
    <w:rsid w:val="00F14C2D"/>
    <w:rsid w:val="00F16C20"/>
    <w:rsid w:val="00F17E7F"/>
    <w:rsid w:val="00F202D7"/>
    <w:rsid w:val="00F216F2"/>
    <w:rsid w:val="00F21945"/>
    <w:rsid w:val="00F22308"/>
    <w:rsid w:val="00F24807"/>
    <w:rsid w:val="00F26283"/>
    <w:rsid w:val="00F26AFF"/>
    <w:rsid w:val="00F303D3"/>
    <w:rsid w:val="00F31FFD"/>
    <w:rsid w:val="00F32EA1"/>
    <w:rsid w:val="00F34775"/>
    <w:rsid w:val="00F361A3"/>
    <w:rsid w:val="00F363D5"/>
    <w:rsid w:val="00F40212"/>
    <w:rsid w:val="00F406A7"/>
    <w:rsid w:val="00F40A6A"/>
    <w:rsid w:val="00F40ADE"/>
    <w:rsid w:val="00F410BF"/>
    <w:rsid w:val="00F44F7F"/>
    <w:rsid w:val="00F457D7"/>
    <w:rsid w:val="00F503B9"/>
    <w:rsid w:val="00F5332C"/>
    <w:rsid w:val="00F5695B"/>
    <w:rsid w:val="00F56DB7"/>
    <w:rsid w:val="00F5713E"/>
    <w:rsid w:val="00F61F07"/>
    <w:rsid w:val="00F6214C"/>
    <w:rsid w:val="00F64F80"/>
    <w:rsid w:val="00F66488"/>
    <w:rsid w:val="00F67207"/>
    <w:rsid w:val="00F67CE0"/>
    <w:rsid w:val="00F733DC"/>
    <w:rsid w:val="00F7370B"/>
    <w:rsid w:val="00F75E5E"/>
    <w:rsid w:val="00F760CF"/>
    <w:rsid w:val="00F76155"/>
    <w:rsid w:val="00F762F2"/>
    <w:rsid w:val="00F80E9B"/>
    <w:rsid w:val="00F82154"/>
    <w:rsid w:val="00F82271"/>
    <w:rsid w:val="00F82459"/>
    <w:rsid w:val="00F8366E"/>
    <w:rsid w:val="00F84438"/>
    <w:rsid w:val="00F85D14"/>
    <w:rsid w:val="00F91C68"/>
    <w:rsid w:val="00F94C0E"/>
    <w:rsid w:val="00F94F5C"/>
    <w:rsid w:val="00F95126"/>
    <w:rsid w:val="00F96495"/>
    <w:rsid w:val="00F969D8"/>
    <w:rsid w:val="00FA1EB0"/>
    <w:rsid w:val="00FA266F"/>
    <w:rsid w:val="00FA35CD"/>
    <w:rsid w:val="00FA47B5"/>
    <w:rsid w:val="00FA4BC2"/>
    <w:rsid w:val="00FA640B"/>
    <w:rsid w:val="00FA6F41"/>
    <w:rsid w:val="00FB03C1"/>
    <w:rsid w:val="00FB09F0"/>
    <w:rsid w:val="00FB16B9"/>
    <w:rsid w:val="00FB317F"/>
    <w:rsid w:val="00FB4530"/>
    <w:rsid w:val="00FB462B"/>
    <w:rsid w:val="00FB4C27"/>
    <w:rsid w:val="00FB527E"/>
    <w:rsid w:val="00FC00A3"/>
    <w:rsid w:val="00FC0A14"/>
    <w:rsid w:val="00FC102C"/>
    <w:rsid w:val="00FC192E"/>
    <w:rsid w:val="00FC302C"/>
    <w:rsid w:val="00FC4457"/>
    <w:rsid w:val="00FC49EA"/>
    <w:rsid w:val="00FC5595"/>
    <w:rsid w:val="00FC617B"/>
    <w:rsid w:val="00FC710F"/>
    <w:rsid w:val="00FC7601"/>
    <w:rsid w:val="00FD0367"/>
    <w:rsid w:val="00FD161B"/>
    <w:rsid w:val="00FD1A49"/>
    <w:rsid w:val="00FD6813"/>
    <w:rsid w:val="00FE0264"/>
    <w:rsid w:val="00FE0C36"/>
    <w:rsid w:val="00FE1467"/>
    <w:rsid w:val="00FE2330"/>
    <w:rsid w:val="00FE2A14"/>
    <w:rsid w:val="00FE2EEE"/>
    <w:rsid w:val="00FE4533"/>
    <w:rsid w:val="00FE6D14"/>
    <w:rsid w:val="00FF0D4F"/>
    <w:rsid w:val="00FF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8" w:unhideWhenUsed="1"/>
    <w:lsdException w:name="List Bullet" w:semiHidden="1" w:unhideWhenUsed="1" w:qFormat="1"/>
    <w:lsdException w:name="List Bullet 2" w:semiHidden="1" w:uiPriority="8" w:unhideWhenUsed="1"/>
    <w:lsdException w:name="Title" w:qFormat="1"/>
    <w:lsdException w:name="Subtitle" w:qFormat="1"/>
    <w:lsdException w:name="Hyperlink" w:semiHidden="1" w:uiPriority="99" w:unhideWhenUsed="1"/>
    <w:lsdException w:name="Strong" w:qFormat="1"/>
    <w:lsdException w:name="Emphasis" w:uiPriority="20" w:qFormat="1"/>
    <w:lsdException w:name="Plain Text" w:semiHidden="1" w:uiPriority="99" w:unhideWhenUsed="1"/>
    <w:lsdException w:name="Normal (Web)"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pPr>
    <w:rPr>
      <w:sz w:val="24"/>
      <w:lang w:eastAsia="sr-Latn-RS"/>
    </w:rPr>
  </w:style>
  <w:style w:type="paragraph" w:styleId="Heading1">
    <w:name w:val="heading 1"/>
    <w:basedOn w:val="Normal"/>
    <w:next w:val="Normal"/>
    <w:link w:val="Heading1Char"/>
    <w:uiPriority w:val="9"/>
    <w:qFormat/>
    <w:pPr>
      <w:keepNext/>
      <w:spacing w:after="240"/>
      <w:jc w:val="center"/>
      <w:outlineLvl w:val="0"/>
    </w:pPr>
    <w:rPr>
      <w:rFonts w:cs="Arial"/>
      <w:b/>
      <w:bCs/>
      <w:smallCaps/>
      <w:kern w:val="28"/>
      <w:szCs w:val="32"/>
    </w:rPr>
  </w:style>
  <w:style w:type="paragraph" w:styleId="Heading2">
    <w:name w:val="heading 2"/>
    <w:basedOn w:val="Normal"/>
    <w:next w:val="Normal"/>
    <w:link w:val="Heading2Char"/>
    <w:uiPriority w:val="9"/>
    <w:qFormat/>
    <w:pPr>
      <w:keepNext/>
      <w:spacing w:after="240"/>
      <w:jc w:val="center"/>
      <w:outlineLvl w:val="1"/>
    </w:pPr>
    <w:rPr>
      <w:rFonts w:cs="Arial"/>
      <w:b/>
      <w:bCs/>
      <w:iCs/>
      <w:szCs w:val="28"/>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outlineLvl w:val="3"/>
    </w:pPr>
    <w:rPr>
      <w:b/>
      <w:i/>
    </w:rPr>
  </w:style>
  <w:style w:type="paragraph" w:styleId="Heading5">
    <w:name w:val="heading 5"/>
    <w:basedOn w:val="Normal"/>
    <w:next w:val="Normal"/>
    <w:link w:val="Heading5Char"/>
    <w:uiPriority w:val="9"/>
    <w:qFormat/>
    <w:pPr>
      <w:keepNext/>
      <w:outlineLvl w:val="4"/>
    </w:pPr>
    <w:rPr>
      <w:i/>
    </w:r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link w:val="BodyTextChar1"/>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smallCaps/>
      <w:kern w:val="28"/>
      <w:sz w:val="32"/>
    </w:rPr>
  </w:style>
  <w:style w:type="character" w:customStyle="1" w:styleId="Heading2Char">
    <w:name w:val="Heading 2 Char"/>
    <w:basedOn w:val="DefaultParagraphFont"/>
    <w:link w:val="Heading2"/>
    <w:uiPriority w:val="9"/>
    <w:locked/>
    <w:rPr>
      <w:rFonts w:ascii="Times New Roman" w:hAnsi="Times New Roman"/>
      <w:b/>
      <w:sz w:val="28"/>
    </w:rPr>
  </w:style>
  <w:style w:type="character" w:customStyle="1" w:styleId="Heading3Char">
    <w:name w:val="Heading 3 Char"/>
    <w:basedOn w:val="DefaultParagraphFont"/>
    <w:link w:val="Heading3"/>
    <w:uiPriority w:val="9"/>
    <w:locked/>
    <w:rPr>
      <w:b/>
      <w:sz w:val="24"/>
    </w:rPr>
  </w:style>
  <w:style w:type="character" w:customStyle="1" w:styleId="Heading4Char">
    <w:name w:val="Heading 4 Char"/>
    <w:basedOn w:val="DefaultParagraphFont"/>
    <w:link w:val="Heading4"/>
    <w:uiPriority w:val="9"/>
    <w:locked/>
    <w:rPr>
      <w:b/>
      <w:i/>
      <w:sz w:val="24"/>
    </w:rPr>
  </w:style>
  <w:style w:type="character" w:customStyle="1" w:styleId="Heading5Char">
    <w:name w:val="Heading 5 Char"/>
    <w:basedOn w:val="DefaultParagraphFont"/>
    <w:link w:val="Heading5"/>
    <w:uiPriority w:val="9"/>
    <w:locked/>
    <w:rPr>
      <w:sz w:val="24"/>
    </w:rPr>
  </w:style>
  <w:style w:type="character" w:customStyle="1" w:styleId="Heading6Char">
    <w:name w:val="Heading 6 Char"/>
    <w:basedOn w:val="DefaultParagraphFont"/>
    <w:link w:val="Heading6"/>
    <w:uiPriority w:val="9"/>
    <w:locked/>
    <w:rPr>
      <w:sz w:val="24"/>
    </w:rPr>
  </w:style>
  <w:style w:type="character" w:customStyle="1" w:styleId="Heading7Char">
    <w:name w:val="Heading 7 Char"/>
    <w:basedOn w:val="DefaultParagraphFont"/>
    <w:link w:val="Heading7"/>
    <w:uiPriority w:val="9"/>
    <w:locked/>
  </w:style>
  <w:style w:type="character" w:customStyle="1" w:styleId="Heading8Char">
    <w:name w:val="Heading 8 Char"/>
    <w:basedOn w:val="DefaultParagraphFont"/>
    <w:link w:val="Heading8"/>
    <w:uiPriority w:val="9"/>
    <w:semiHidden/>
    <w:locked/>
    <w:rPr>
      <w:rFonts w:ascii="Calibri" w:hAnsi="Calibri"/>
      <w:i/>
      <w:sz w:val="24"/>
    </w:rPr>
  </w:style>
  <w:style w:type="character" w:customStyle="1" w:styleId="Heading9Char">
    <w:name w:val="Heading 9 Char"/>
    <w:basedOn w:val="DefaultParagraphFont"/>
    <w:link w:val="Heading9"/>
    <w:uiPriority w:val="99"/>
    <w:locked/>
    <w:rPr>
      <w:sz w:val="24"/>
    </w:rPr>
  </w:style>
  <w:style w:type="character" w:styleId="FootnoteReference">
    <w:name w:val="footnote reference"/>
    <w:aliases w:val="ftref,footnote ref,BVI fnr,referencia nota al pie,Footnote Text Char2,single space Char1,fn Char1,ft Char1,ALTS FOOTNOTE Char1,ADB Char1,Footnote Text Char1 Char1,FOOTNOTES Char1,Texto nota pie Car Char1,ft Car Char1,ft Car Car Char1"/>
    <w:basedOn w:val="DefaultParagraphFont"/>
    <w:uiPriority w:val="99"/>
    <w:rPr>
      <w:vertAlign w:val="superscript"/>
    </w:rPr>
  </w:style>
  <w:style w:type="paragraph" w:customStyle="1" w:styleId="Indent">
    <w:name w:val="Indent"/>
    <w:basedOn w:val="Normal"/>
    <w:pPr>
      <w:ind w:left="720" w:hanging="720"/>
    </w:pPr>
  </w:style>
  <w:style w:type="character" w:styleId="PageNumber">
    <w:name w:val="page number"/>
    <w:basedOn w:val="DefaultParagraphFont"/>
    <w:uiPriority w:val="99"/>
  </w:style>
  <w:style w:type="paragraph" w:styleId="BodyText">
    <w:name w:val="Body Text"/>
    <w:basedOn w:val="Normal"/>
    <w:link w:val="BodyTextChar"/>
    <w:uiPriority w:val="99"/>
    <w:pPr>
      <w:spacing w:after="120" w:line="240" w:lineRule="auto"/>
    </w:pPr>
    <w:rPr>
      <w:szCs w:val="24"/>
      <w:lang w:val="en-GB"/>
    </w:rPr>
  </w:style>
  <w:style w:type="character" w:customStyle="1" w:styleId="BodyTextChar">
    <w:name w:val="Body Text Char"/>
    <w:basedOn w:val="DefaultParagraphFont"/>
    <w:link w:val="BodyText"/>
    <w:uiPriority w:val="99"/>
    <w:semiHidden/>
    <w:locked/>
    <w:rPr>
      <w:rFonts w:ascii="Times New Roman" w:hAnsi="Times New Roman"/>
      <w:sz w:val="24"/>
    </w:rPr>
  </w:style>
  <w:style w:type="paragraph" w:styleId="FootnoteText">
    <w:name w:val="footnote text"/>
    <w:aliases w:val="single space,fn,ft,ALTS FOOTNOTE,ADB,Footnote Text Char1,FOOTNOTES,Texto nota pie Car,ft Car,ft Car Car,Texto nota pie2,ft1,ft Car Car Car1,Texto nota pie Car2,ft Car Car2,ft Car Car Car,Footnote Text Char Car Char,fn1"/>
    <w:basedOn w:val="Normal"/>
    <w:link w:val="FootnoteTextChar"/>
    <w:uiPriority w:val="99"/>
    <w:pPr>
      <w:spacing w:after="240"/>
    </w:pPr>
    <w:rPr>
      <w:sz w:val="20"/>
    </w:rPr>
  </w:style>
  <w:style w:type="character" w:customStyle="1" w:styleId="FootnoteTextChar">
    <w:name w:val="Footnote Text Char"/>
    <w:aliases w:val="single space Char,fn Char,ft Char,ALTS FOOTNOTE Char,ADB Char,Footnote Text Char1 Char,FOOTNOTES Char,Texto nota pie Car Char,ft Car Char,ft Car Car Char,Texto nota pie2 Char,ft1 Char,ft Car Car Car1 Char,Texto nota pie Car2 Char"/>
    <w:basedOn w:val="DefaultParagraphFont"/>
    <w:link w:val="FootnoteText"/>
    <w:uiPriority w:val="99"/>
    <w:semiHidden/>
    <w:locked/>
    <w:rPr>
      <w:rFonts w:ascii="Times New Roman" w:hAnsi="Times New Roman"/>
      <w:sz w:val="16"/>
    </w:rPr>
  </w:style>
  <w:style w:type="paragraph" w:styleId="Index7">
    <w:name w:val="index 7"/>
    <w:basedOn w:val="Normal"/>
    <w:next w:val="Normal"/>
    <w:uiPriority w:val="99"/>
    <w:semiHidden/>
    <w:pPr>
      <w:ind w:left="1680" w:hanging="240"/>
    </w:pPr>
    <w:rPr>
      <w:szCs w:val="24"/>
    </w:rPr>
  </w:style>
  <w:style w:type="paragraph" w:styleId="ListBullet">
    <w:name w:val="List Bullet"/>
    <w:basedOn w:val="Normal"/>
    <w:uiPriority w:val="99"/>
    <w:qFormat/>
    <w:pPr>
      <w:numPr>
        <w:numId w:val="3"/>
      </w:numPr>
      <w:spacing w:after="240"/>
    </w:pPr>
  </w:style>
  <w:style w:type="paragraph" w:customStyle="1" w:styleId="ParagraphNumbering">
    <w:name w:val="Paragraph Numbering"/>
    <w:basedOn w:val="Normal"/>
    <w:qFormat/>
    <w:pPr>
      <w:numPr>
        <w:numId w:val="14"/>
      </w:numPr>
      <w:tabs>
        <w:tab w:val="clear" w:pos="1713"/>
        <w:tab w:val="num" w:pos="720"/>
      </w:tabs>
      <w:spacing w:after="240"/>
      <w:ind w:left="0"/>
    </w:pPr>
    <w:rPr>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Courier New" w:hAnsi="Courier New"/>
      <w:b/>
      <w:color w:val="800080"/>
      <w:sz w:val="24"/>
      <w:vertAlign w:val="subscript"/>
    </w:rPr>
  </w:style>
  <w:style w:type="paragraph" w:styleId="NoSpacing">
    <w:name w:val="No Spacing"/>
    <w:uiPriority w:val="1"/>
    <w:qFormat/>
    <w:rPr>
      <w:sz w:val="24"/>
      <w:szCs w:val="24"/>
      <w:lang w:eastAsia="sr-Latn-R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style>
  <w:style w:type="paragraph" w:customStyle="1" w:styleId="Text">
    <w:name w:val="* Text"/>
    <w:basedOn w:val="Normal"/>
    <w:pPr>
      <w:tabs>
        <w:tab w:val="left" w:pos="567"/>
      </w:tabs>
      <w:spacing w:before="140" w:line="280" w:lineRule="exact"/>
      <w:ind w:left="1701" w:right="113" w:hanging="567"/>
    </w:pPr>
    <w:rPr>
      <w:lang w:val="en-GB"/>
    </w:rPr>
  </w:style>
  <w:style w:type="paragraph" w:styleId="TOC1">
    <w:name w:val="toc 1"/>
    <w:basedOn w:val="Normal"/>
    <w:next w:val="Normal"/>
    <w:autoRedefine/>
    <w:uiPriority w:val="39"/>
    <w:qFormat/>
    <w:pPr>
      <w:tabs>
        <w:tab w:val="left" w:leader="dot" w:pos="9000"/>
      </w:tabs>
      <w:spacing w:before="240"/>
    </w:pPr>
  </w:style>
  <w:style w:type="paragraph" w:styleId="TOC2">
    <w:name w:val="toc 2"/>
    <w:basedOn w:val="Normal"/>
    <w:next w:val="Normal"/>
    <w:autoRedefine/>
    <w:uiPriority w:val="39"/>
    <w:qFormat/>
    <w:pPr>
      <w:tabs>
        <w:tab w:val="left" w:pos="720"/>
        <w:tab w:val="left" w:pos="1008"/>
        <w:tab w:val="left" w:pos="1440"/>
        <w:tab w:val="left" w:pos="2160"/>
        <w:tab w:val="left" w:leader="dot" w:pos="9000"/>
      </w:tabs>
      <w:ind w:left="1008"/>
    </w:pPr>
  </w:style>
  <w:style w:type="paragraph" w:styleId="TOC3">
    <w:name w:val="toc 3"/>
    <w:basedOn w:val="Normal"/>
    <w:next w:val="Normal"/>
    <w:autoRedefine/>
    <w:uiPriority w:val="39"/>
    <w:qFormat/>
    <w:pPr>
      <w:tabs>
        <w:tab w:val="left" w:leader="dot" w:pos="9000"/>
      </w:tabs>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style>
  <w:style w:type="paragraph" w:styleId="TableofFigures">
    <w:name w:val="table of figures"/>
    <w:basedOn w:val="Normal"/>
    <w:next w:val="Normal"/>
    <w:uiPriority w:val="99"/>
    <w:semiHidden/>
    <w:pPr>
      <w:tabs>
        <w:tab w:val="left" w:pos="720"/>
        <w:tab w:val="left" w:leader="dot" w:pos="9000"/>
      </w:tabs>
    </w:pPr>
  </w:style>
  <w:style w:type="paragraph" w:customStyle="1" w:styleId="UnnumberedHeading1">
    <w:name w:val="Unnumbered Heading 1"/>
    <w:basedOn w:val="Normal"/>
    <w:link w:val="EndnoteTextChar1"/>
    <w:pPr>
      <w:jc w:val="center"/>
    </w:pPr>
    <w:rPr>
      <w:b/>
      <w:smallCaps/>
    </w:rPr>
  </w:style>
  <w:style w:type="paragraph" w:customStyle="1" w:styleId="Appendix">
    <w:name w:val="Appendix"/>
    <w:basedOn w:val="Normal"/>
    <w:next w:val="Normal"/>
    <w:pPr>
      <w:spacing w:before="120" w:after="120"/>
      <w:jc w:val="center"/>
    </w:pPr>
    <w:rPr>
      <w:b/>
    </w:rPr>
  </w:style>
  <w:style w:type="paragraph" w:styleId="Caption">
    <w:name w:val="caption"/>
    <w:basedOn w:val="Normal"/>
    <w:next w:val="Normal"/>
    <w:uiPriority w:val="35"/>
    <w:qFormat/>
    <w:pPr>
      <w:tabs>
        <w:tab w:val="left" w:pos="720"/>
        <w:tab w:val="left" w:pos="1152"/>
        <w:tab w:val="left" w:pos="1584"/>
        <w:tab w:val="right" w:pos="9346"/>
      </w:tabs>
      <w:outlineLvl w:val="0"/>
    </w:pPr>
  </w:style>
  <w:style w:type="paragraph" w:styleId="TableofAuthorities">
    <w:name w:val="table of authorities"/>
    <w:basedOn w:val="Normal"/>
    <w:next w:val="Normal"/>
    <w:uiPriority w:val="99"/>
    <w:semiHidden/>
    <w:pPr>
      <w:ind w:left="240" w:hanging="24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character" w:customStyle="1" w:styleId="ListParagraphChar">
    <w:name w:val="List Paragraph Char"/>
    <w:uiPriority w:val="34"/>
    <w:locked/>
    <w:rPr>
      <w:sz w:val="24"/>
    </w:rPr>
  </w:style>
  <w:style w:type="paragraph" w:styleId="TOCHeading">
    <w:name w:val="TOC Heading"/>
    <w:basedOn w:val="Heading1"/>
    <w:next w:val="Normal"/>
    <w:uiPriority w:val="39"/>
    <w:qFormat/>
    <w:pPr>
      <w:keepLines/>
      <w:spacing w:before="480" w:after="0" w:line="276" w:lineRule="auto"/>
      <w:jc w:val="left"/>
      <w:outlineLvl w:val="9"/>
    </w:pPr>
    <w:rPr>
      <w:rFonts w:ascii="Cambria" w:hAnsi="Cambria" w:cs="Times New Roman"/>
      <w:smallCaps w:val="0"/>
      <w:color w:val="365F91"/>
      <w:kern w:val="0"/>
      <w:sz w:val="28"/>
      <w:szCs w:val="28"/>
    </w:rPr>
  </w:style>
  <w:style w:type="character" w:styleId="CommentReference">
    <w:name w:val="annotation reference"/>
    <w:basedOn w:val="DefaultParagraphFont"/>
    <w:uiPriority w:val="8"/>
    <w:rPr>
      <w:sz w:val="16"/>
    </w:rPr>
  </w:style>
  <w:style w:type="paragraph" w:styleId="CommentText">
    <w:name w:val="annotation text"/>
    <w:basedOn w:val="Normal"/>
    <w:link w:val="CommentTextChar"/>
    <w:uiPriority w:val="99"/>
    <w:pPr>
      <w:spacing w:line="240" w:lineRule="auto"/>
    </w:pPr>
    <w:rPr>
      <w:sz w:val="20"/>
    </w:rPr>
  </w:style>
  <w:style w:type="character" w:customStyle="1" w:styleId="CommentTextChar">
    <w:name w:val="Comment Text Char"/>
    <w:basedOn w:val="DefaultParagraphFont"/>
    <w:link w:val="CommentText"/>
    <w:uiPriority w:val="1"/>
    <w:locked/>
    <w:rPr>
      <w:rFonts w:eastAsia="Times New Roman"/>
      <w:sz w:val="24"/>
    </w:rPr>
  </w:style>
  <w:style w:type="character" w:customStyle="1" w:styleId="tw4winMark">
    <w:name w:val="tw4winMark"/>
    <w:uiPriority w:val="99"/>
    <w:rPr>
      <w:rFonts w:ascii="Courier New" w:hAnsi="Courier New"/>
      <w:vanish/>
      <w:color w:val="800080"/>
      <w:sz w:val="24"/>
      <w:vertAlign w:val="subscrip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b/>
      <w:color w:val="800080"/>
      <w:sz w:val="24"/>
      <w:vertAlign w:val="subscript"/>
    </w:rPr>
  </w:style>
  <w:style w:type="paragraph" w:customStyle="1" w:styleId="Default">
    <w:name w:val="Default"/>
    <w:pPr>
      <w:autoSpaceDE w:val="0"/>
      <w:autoSpaceDN w:val="0"/>
      <w:adjustRightInd w:val="0"/>
    </w:pPr>
    <w:rPr>
      <w:color w:val="000000"/>
      <w:sz w:val="24"/>
      <w:szCs w:val="24"/>
      <w:lang w:val="en-GB" w:eastAsia="sr-Latn-RS"/>
    </w:rPr>
  </w:style>
  <w:style w:type="paragraph" w:customStyle="1" w:styleId="TableText">
    <w:name w:val="Table Text"/>
    <w:basedOn w:val="Normal"/>
    <w:qFormat/>
    <w:pPr>
      <w:spacing w:before="60" w:after="60" w:line="240" w:lineRule="auto"/>
    </w:pPr>
    <w:rPr>
      <w:rFonts w:ascii="Arial" w:hAnsi="Arial" w:cs="Arial"/>
      <w:color w:val="000000"/>
      <w:sz w:val="20"/>
    </w:rPr>
  </w:style>
  <w:style w:type="table" w:customStyle="1" w:styleId="GridTable4-Accent51">
    <w:name w:val="Grid Table 4 - Accent 51"/>
    <w:basedOn w:val="TableNormal"/>
    <w:uiPriority w:val="49"/>
    <w:rPr>
      <w:rFonts w:ascii="Calibri" w:hAnsi="Calibri"/>
      <w:sz w:val="22"/>
      <w:szCs w:val="22"/>
      <w:lang w:val="en-GB"/>
    </w:rPr>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style>
  <w:style w:type="paragraph" w:customStyle="1" w:styleId="XBulletR">
    <w:name w:val="XBulletR"/>
    <w:basedOn w:val="Normal"/>
    <w:pPr>
      <w:pBdr>
        <w:top w:val="single" w:sz="6" w:space="7" w:color="auto"/>
        <w:left w:val="single" w:sz="6" w:space="7" w:color="auto"/>
        <w:bottom w:val="single" w:sz="6" w:space="7" w:color="auto"/>
        <w:right w:val="single" w:sz="6" w:space="7" w:color="auto"/>
      </w:pBdr>
      <w:tabs>
        <w:tab w:val="left" w:pos="1699"/>
        <w:tab w:val="left" w:pos="2131"/>
      </w:tabs>
      <w:spacing w:before="240" w:line="240" w:lineRule="auto"/>
      <w:ind w:left="2132" w:right="216" w:hanging="994"/>
    </w:pPr>
    <w:rPr>
      <w:i/>
      <w:lang w:val="en-GB"/>
    </w:rPr>
  </w:style>
  <w:style w:type="paragraph" w:customStyle="1" w:styleId="SECTIONContents">
    <w:name w:val="SECTION Contents"/>
    <w:basedOn w:val="Normal"/>
    <w:pPr>
      <w:numPr>
        <w:numId w:val="16"/>
      </w:numPr>
      <w:spacing w:before="70" w:line="280" w:lineRule="exact"/>
      <w:ind w:right="113"/>
    </w:pPr>
    <w:rPr>
      <w:rFonts w:ascii="Arial" w:hAnsi="Arial"/>
      <w:sz w:val="18"/>
      <w:lang w:val="en-GB"/>
    </w:rPr>
  </w:style>
  <w:style w:type="paragraph" w:styleId="PlainText">
    <w:name w:val="Plain Text"/>
    <w:basedOn w:val="Normal"/>
    <w:link w:val="PlainTextChar"/>
    <w:uiPriority w:val="99"/>
    <w:pPr>
      <w:spacing w:line="240" w:lineRule="auto"/>
    </w:pPr>
    <w:rPr>
      <w:rFonts w:ascii="Calibri" w:hAnsi="Calibri"/>
      <w:sz w:val="22"/>
      <w:szCs w:val="22"/>
      <w:lang w:val="en-029"/>
    </w:rPr>
  </w:style>
  <w:style w:type="character" w:customStyle="1" w:styleId="PlainTextChar">
    <w:name w:val="Plain Text Char"/>
    <w:basedOn w:val="DefaultParagraphFont"/>
    <w:link w:val="PlainText"/>
    <w:uiPriority w:val="99"/>
    <w:semiHidden/>
    <w:locked/>
    <w:rPr>
      <w:rFonts w:ascii="Courier New" w:hAnsi="Courier New"/>
    </w:rPr>
  </w:style>
  <w:style w:type="character" w:customStyle="1" w:styleId="PlainTextChar1">
    <w:name w:val="Plain Text Char1"/>
    <w:uiPriority w:val="99"/>
    <w:locked/>
    <w:rPr>
      <w:rFonts w:ascii="Calibri" w:hAnsi="Calibri"/>
      <w:sz w:val="22"/>
      <w:lang w:val="en-029" w:eastAsia="x-none"/>
    </w:rPr>
  </w:style>
  <w:style w:type="character" w:customStyle="1" w:styleId="BodyTextChar1">
    <w:name w:val="Body Text Char1"/>
    <w:link w:val="TableNormal"/>
    <w:locked/>
    <w:rPr>
      <w:rFonts w:eastAsia="Times New Roman"/>
      <w:sz w:val="24"/>
      <w:lang w:val="en-GB" w:eastAsia="x-none"/>
    </w:rPr>
  </w:style>
  <w:style w:type="paragraph" w:styleId="NormalWeb">
    <w:name w:val="Normal (Web)"/>
    <w:basedOn w:val="Normal"/>
    <w:uiPriority w:val="99"/>
    <w:pPr>
      <w:spacing w:before="100" w:beforeAutospacing="1" w:after="100" w:afterAutospacing="1" w:line="240" w:lineRule="auto"/>
    </w:pPr>
    <w:rPr>
      <w:szCs w:val="24"/>
      <w:lang w:val="en-GB"/>
    </w:rPr>
  </w:style>
  <w:style w:type="paragraph" w:customStyle="1" w:styleId="Prrafodelista">
    <w:name w:val="Párrafo de lista"/>
    <w:basedOn w:val="Normal"/>
    <w:qFormat/>
    <w:pPr>
      <w:spacing w:line="240" w:lineRule="auto"/>
      <w:ind w:left="720"/>
    </w:pPr>
    <w:rPr>
      <w:szCs w:val="24"/>
      <w:lang w:val="en-GB"/>
    </w:rPr>
  </w:style>
  <w:style w:type="table" w:customStyle="1" w:styleId="TableGrid1">
    <w:name w:val="Table Grid1"/>
    <w:basedOn w:val="TableNormal"/>
    <w:uiPriority w:val="59"/>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Default"/>
    <w:next w:val="Default"/>
    <w:uiPriority w:val="99"/>
    <w:pPr>
      <w:widowControl w:val="0"/>
    </w:pPr>
    <w:rPr>
      <w:color w:val="auto"/>
      <w:lang w:val="en-US"/>
    </w:rPr>
  </w:style>
  <w:style w:type="paragraph" w:customStyle="1" w:styleId="CM24">
    <w:name w:val="CM24"/>
    <w:basedOn w:val="Default"/>
    <w:next w:val="Default"/>
    <w:uiPriority w:val="99"/>
    <w:pPr>
      <w:widowControl w:val="0"/>
    </w:pPr>
    <w:rPr>
      <w:color w:val="auto"/>
      <w:lang w:val="en-US"/>
    </w:rPr>
  </w:style>
  <w:style w:type="character" w:customStyle="1" w:styleId="textitem">
    <w:name w:val="textitem"/>
  </w:style>
  <w:style w:type="paragraph" w:styleId="ListBullet2">
    <w:name w:val="List Bullet 2"/>
    <w:basedOn w:val="Normal"/>
    <w:uiPriority w:val="8"/>
    <w:pPr>
      <w:tabs>
        <w:tab w:val="num" w:pos="720"/>
      </w:tabs>
      <w:ind w:left="720" w:hanging="360"/>
      <w:contextualSpacing/>
    </w:pPr>
  </w:style>
  <w:style w:type="paragraph" w:customStyle="1" w:styleId="paragraphnumbering0">
    <w:name w:val="paragraphnumbering"/>
    <w:basedOn w:val="Normal"/>
    <w:pPr>
      <w:spacing w:before="100" w:beforeAutospacing="1" w:after="100" w:afterAutospacing="1" w:line="240" w:lineRule="auto"/>
    </w:pPr>
    <w:rPr>
      <w:szCs w:val="24"/>
    </w:rPr>
  </w:style>
  <w:style w:type="character" w:styleId="Emphasis">
    <w:name w:val="Emphasis"/>
    <w:basedOn w:val="DefaultParagraphFont"/>
    <w:uiPriority w:val="20"/>
    <w:qFormat/>
    <w:rPr>
      <w:b/>
    </w:rPr>
  </w:style>
  <w:style w:type="character" w:customStyle="1" w:styleId="st1">
    <w:name w:val="st1"/>
  </w:style>
  <w:style w:type="paragraph" w:styleId="Revision">
    <w:name w:val="Revision"/>
    <w:hidden/>
    <w:uiPriority w:val="99"/>
    <w:semiHidden/>
    <w:rPr>
      <w:sz w:val="24"/>
      <w:lang w:eastAsia="sr-Latn-RS"/>
    </w:rPr>
  </w:style>
  <w:style w:type="table" w:styleId="TableClassic1">
    <w:name w:val="Table Classic 1"/>
    <w:basedOn w:val="TableNormal"/>
    <w:uiPriority w:val="99"/>
    <w:rPr>
      <w:sz w:val="24"/>
      <w:szCs w:val="24"/>
    </w:rPr>
    <w:tblPr>
      <w:tblBorders>
        <w:top w:val="single" w:sz="12" w:space="0" w:color="000000"/>
        <w:bottom w:val="single" w:sz="12" w:space="0" w:color="000000"/>
      </w:tblBorders>
    </w:tblPr>
  </w:style>
  <w:style w:type="paragraph" w:customStyle="1" w:styleId="NormalBold">
    <w:name w:val="Normal+ Bold"/>
    <w:basedOn w:val="Normal"/>
    <w:pPr>
      <w:numPr>
        <w:numId w:val="18"/>
      </w:numPr>
      <w:spacing w:line="240" w:lineRule="auto"/>
    </w:pPr>
    <w:rPr>
      <w:b/>
      <w:sz w:val="22"/>
      <w:szCs w:val="22"/>
      <w:lang w:val="en-GB"/>
    </w:rPr>
  </w:style>
  <w:style w:type="paragraph" w:customStyle="1" w:styleId="Heading1Garamond">
    <w:name w:val="Heading 1 + Garamond"/>
    <w:aliases w:val="Black"/>
    <w:basedOn w:val="Heading1"/>
    <w:next w:val="Normal"/>
    <w:pPr>
      <w:spacing w:before="240" w:after="60" w:line="240" w:lineRule="auto"/>
    </w:pPr>
    <w:rPr>
      <w:rFonts w:ascii="Garamond" w:hAnsi="Garamond" w:cs="Times New Roman"/>
      <w:smallCaps w:val="0"/>
      <w:color w:val="A6A6A6"/>
      <w:kern w:val="32"/>
      <w:sz w:val="32"/>
      <w:lang w:val="en-GB"/>
    </w:rPr>
  </w:style>
  <w:style w:type="character" w:customStyle="1" w:styleId="hps">
    <w:name w:val="hps"/>
  </w:style>
  <w:style w:type="paragraph" w:styleId="EndnoteText">
    <w:name w:val="endnote text"/>
    <w:basedOn w:val="Normal"/>
    <w:link w:val="EndnoteTextChar"/>
    <w:uiPriority w:val="99"/>
    <w:semiHidden/>
    <w:pPr>
      <w:spacing w:line="240" w:lineRule="auto"/>
    </w:pPr>
    <w:rPr>
      <w:sz w:val="20"/>
    </w:rPr>
  </w:style>
  <w:style w:type="character" w:customStyle="1" w:styleId="EndnoteTextChar">
    <w:name w:val="Endnote Text Char"/>
    <w:basedOn w:val="DefaultParagraphFont"/>
    <w:link w:val="EndnoteText"/>
    <w:uiPriority w:val="99"/>
    <w:semiHidden/>
    <w:locked/>
    <w:rPr>
      <w:rFonts w:ascii="Times New Roman" w:hAnsi="Times New Roman"/>
    </w:rPr>
  </w:style>
  <w:style w:type="character" w:customStyle="1" w:styleId="EndnoteTextChar1">
    <w:name w:val="Endnote Text Char1"/>
    <w:link w:val="UnnumberedHeading1"/>
    <w:semiHidden/>
    <w:locked/>
  </w:style>
  <w:style w:type="character" w:styleId="EndnoteReference">
    <w:name w:val="endnote reference"/>
    <w:basedOn w:val="DefaultParagraphFont"/>
    <w:uiPriority w:val="99"/>
    <w:semiHidden/>
    <w:rPr>
      <w:vertAlign w:val="superscript"/>
    </w:rPr>
  </w:style>
  <w:style w:type="character" w:customStyle="1" w:styleId="gt-icon-text1">
    <w:name w:val="gt-icon-text1"/>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footer" w:semiHidden="1" w:uiPriority="99" w:unhideWhenUsed="1"/>
    <w:lsdException w:name="caption" w:semiHidden="1" w:unhideWhenUsed="1" w:qFormat="1"/>
    <w:lsdException w:name="footnote reference" w:semiHidden="1" w:uiPriority="99" w:unhideWhenUsed="1"/>
    <w:lsdException w:name="annotation reference" w:semiHidden="1" w:uiPriority="8" w:unhideWhenUsed="1"/>
    <w:lsdException w:name="List Bullet" w:semiHidden="1" w:unhideWhenUsed="1" w:qFormat="1"/>
    <w:lsdException w:name="List Bullet 2" w:semiHidden="1" w:uiPriority="8" w:unhideWhenUsed="1"/>
    <w:lsdException w:name="Title" w:qFormat="1"/>
    <w:lsdException w:name="Subtitle" w:qFormat="1"/>
    <w:lsdException w:name="Hyperlink" w:semiHidden="1" w:uiPriority="99" w:unhideWhenUsed="1"/>
    <w:lsdException w:name="Strong" w:qFormat="1"/>
    <w:lsdException w:name="Emphasis" w:uiPriority="20" w:qFormat="1"/>
    <w:lsdException w:name="Plain Text" w:semiHidden="1" w:uiPriority="99" w:unhideWhenUsed="1"/>
    <w:lsdException w:name="Normal (Web)" w:semiHidden="1" w:uiPriority="99" w:unhideWhenUsed="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4" w:lineRule="auto"/>
    </w:pPr>
    <w:rPr>
      <w:sz w:val="24"/>
      <w:lang w:eastAsia="sr-Latn-RS"/>
    </w:rPr>
  </w:style>
  <w:style w:type="paragraph" w:styleId="Heading1">
    <w:name w:val="heading 1"/>
    <w:basedOn w:val="Normal"/>
    <w:next w:val="Normal"/>
    <w:link w:val="Heading1Char"/>
    <w:uiPriority w:val="9"/>
    <w:qFormat/>
    <w:pPr>
      <w:keepNext/>
      <w:spacing w:after="240"/>
      <w:jc w:val="center"/>
      <w:outlineLvl w:val="0"/>
    </w:pPr>
    <w:rPr>
      <w:rFonts w:cs="Arial"/>
      <w:b/>
      <w:bCs/>
      <w:smallCaps/>
      <w:kern w:val="28"/>
      <w:szCs w:val="32"/>
    </w:rPr>
  </w:style>
  <w:style w:type="paragraph" w:styleId="Heading2">
    <w:name w:val="heading 2"/>
    <w:basedOn w:val="Normal"/>
    <w:next w:val="Normal"/>
    <w:link w:val="Heading2Char"/>
    <w:uiPriority w:val="9"/>
    <w:qFormat/>
    <w:pPr>
      <w:keepNext/>
      <w:spacing w:after="240"/>
      <w:jc w:val="center"/>
      <w:outlineLvl w:val="1"/>
    </w:pPr>
    <w:rPr>
      <w:rFonts w:cs="Arial"/>
      <w:b/>
      <w:bCs/>
      <w:iCs/>
      <w:szCs w:val="28"/>
    </w:rPr>
  </w:style>
  <w:style w:type="paragraph" w:styleId="Heading3">
    <w:name w:val="heading 3"/>
    <w:basedOn w:val="Normal"/>
    <w:next w:val="Normal"/>
    <w:link w:val="Heading3Char"/>
    <w:uiPriority w:val="9"/>
    <w:qFormat/>
    <w:pPr>
      <w:keepNext/>
      <w:outlineLvl w:val="2"/>
    </w:pPr>
    <w:rPr>
      <w:b/>
    </w:rPr>
  </w:style>
  <w:style w:type="paragraph" w:styleId="Heading4">
    <w:name w:val="heading 4"/>
    <w:basedOn w:val="Normal"/>
    <w:next w:val="Normal"/>
    <w:link w:val="Heading4Char"/>
    <w:uiPriority w:val="9"/>
    <w:qFormat/>
    <w:pPr>
      <w:keepNext/>
      <w:outlineLvl w:val="3"/>
    </w:pPr>
    <w:rPr>
      <w:b/>
      <w:i/>
    </w:rPr>
  </w:style>
  <w:style w:type="paragraph" w:styleId="Heading5">
    <w:name w:val="heading 5"/>
    <w:basedOn w:val="Normal"/>
    <w:next w:val="Normal"/>
    <w:link w:val="Heading5Char"/>
    <w:uiPriority w:val="9"/>
    <w:qFormat/>
    <w:pPr>
      <w:keepNext/>
      <w:outlineLvl w:val="4"/>
    </w:pPr>
    <w:rPr>
      <w:i/>
    </w:r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link w:val="BodyTextChar1"/>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smallCaps/>
      <w:kern w:val="28"/>
      <w:sz w:val="32"/>
    </w:rPr>
  </w:style>
  <w:style w:type="character" w:customStyle="1" w:styleId="Heading2Char">
    <w:name w:val="Heading 2 Char"/>
    <w:basedOn w:val="DefaultParagraphFont"/>
    <w:link w:val="Heading2"/>
    <w:uiPriority w:val="9"/>
    <w:locked/>
    <w:rPr>
      <w:rFonts w:ascii="Times New Roman" w:hAnsi="Times New Roman"/>
      <w:b/>
      <w:sz w:val="28"/>
    </w:rPr>
  </w:style>
  <w:style w:type="character" w:customStyle="1" w:styleId="Heading3Char">
    <w:name w:val="Heading 3 Char"/>
    <w:basedOn w:val="DefaultParagraphFont"/>
    <w:link w:val="Heading3"/>
    <w:uiPriority w:val="9"/>
    <w:locked/>
    <w:rPr>
      <w:b/>
      <w:sz w:val="24"/>
    </w:rPr>
  </w:style>
  <w:style w:type="character" w:customStyle="1" w:styleId="Heading4Char">
    <w:name w:val="Heading 4 Char"/>
    <w:basedOn w:val="DefaultParagraphFont"/>
    <w:link w:val="Heading4"/>
    <w:uiPriority w:val="9"/>
    <w:locked/>
    <w:rPr>
      <w:b/>
      <w:i/>
      <w:sz w:val="24"/>
    </w:rPr>
  </w:style>
  <w:style w:type="character" w:customStyle="1" w:styleId="Heading5Char">
    <w:name w:val="Heading 5 Char"/>
    <w:basedOn w:val="DefaultParagraphFont"/>
    <w:link w:val="Heading5"/>
    <w:uiPriority w:val="9"/>
    <w:locked/>
    <w:rPr>
      <w:sz w:val="24"/>
    </w:rPr>
  </w:style>
  <w:style w:type="character" w:customStyle="1" w:styleId="Heading6Char">
    <w:name w:val="Heading 6 Char"/>
    <w:basedOn w:val="DefaultParagraphFont"/>
    <w:link w:val="Heading6"/>
    <w:uiPriority w:val="9"/>
    <w:locked/>
    <w:rPr>
      <w:sz w:val="24"/>
    </w:rPr>
  </w:style>
  <w:style w:type="character" w:customStyle="1" w:styleId="Heading7Char">
    <w:name w:val="Heading 7 Char"/>
    <w:basedOn w:val="DefaultParagraphFont"/>
    <w:link w:val="Heading7"/>
    <w:uiPriority w:val="9"/>
    <w:locked/>
  </w:style>
  <w:style w:type="character" w:customStyle="1" w:styleId="Heading8Char">
    <w:name w:val="Heading 8 Char"/>
    <w:basedOn w:val="DefaultParagraphFont"/>
    <w:link w:val="Heading8"/>
    <w:uiPriority w:val="9"/>
    <w:semiHidden/>
    <w:locked/>
    <w:rPr>
      <w:rFonts w:ascii="Calibri" w:hAnsi="Calibri"/>
      <w:i/>
      <w:sz w:val="24"/>
    </w:rPr>
  </w:style>
  <w:style w:type="character" w:customStyle="1" w:styleId="Heading9Char">
    <w:name w:val="Heading 9 Char"/>
    <w:basedOn w:val="DefaultParagraphFont"/>
    <w:link w:val="Heading9"/>
    <w:uiPriority w:val="99"/>
    <w:locked/>
    <w:rPr>
      <w:sz w:val="24"/>
    </w:rPr>
  </w:style>
  <w:style w:type="character" w:styleId="FootnoteReference">
    <w:name w:val="footnote reference"/>
    <w:aliases w:val="ftref,footnote ref,BVI fnr,referencia nota al pie,Footnote Text Char2,single space Char1,fn Char1,ft Char1,ALTS FOOTNOTE Char1,ADB Char1,Footnote Text Char1 Char1,FOOTNOTES Char1,Texto nota pie Car Char1,ft Car Char1,ft Car Car Char1"/>
    <w:basedOn w:val="DefaultParagraphFont"/>
    <w:uiPriority w:val="99"/>
    <w:rPr>
      <w:vertAlign w:val="superscript"/>
    </w:rPr>
  </w:style>
  <w:style w:type="paragraph" w:customStyle="1" w:styleId="Indent">
    <w:name w:val="Indent"/>
    <w:basedOn w:val="Normal"/>
    <w:pPr>
      <w:ind w:left="720" w:hanging="720"/>
    </w:pPr>
  </w:style>
  <w:style w:type="character" w:styleId="PageNumber">
    <w:name w:val="page number"/>
    <w:basedOn w:val="DefaultParagraphFont"/>
    <w:uiPriority w:val="99"/>
  </w:style>
  <w:style w:type="paragraph" w:styleId="BodyText">
    <w:name w:val="Body Text"/>
    <w:basedOn w:val="Normal"/>
    <w:link w:val="BodyTextChar"/>
    <w:uiPriority w:val="99"/>
    <w:pPr>
      <w:spacing w:after="120" w:line="240" w:lineRule="auto"/>
    </w:pPr>
    <w:rPr>
      <w:szCs w:val="24"/>
      <w:lang w:val="en-GB"/>
    </w:rPr>
  </w:style>
  <w:style w:type="character" w:customStyle="1" w:styleId="BodyTextChar">
    <w:name w:val="Body Text Char"/>
    <w:basedOn w:val="DefaultParagraphFont"/>
    <w:link w:val="BodyText"/>
    <w:uiPriority w:val="99"/>
    <w:semiHidden/>
    <w:locked/>
    <w:rPr>
      <w:rFonts w:ascii="Times New Roman" w:hAnsi="Times New Roman"/>
      <w:sz w:val="24"/>
    </w:rPr>
  </w:style>
  <w:style w:type="paragraph" w:styleId="FootnoteText">
    <w:name w:val="footnote text"/>
    <w:aliases w:val="single space,fn,ft,ALTS FOOTNOTE,ADB,Footnote Text Char1,FOOTNOTES,Texto nota pie Car,ft Car,ft Car Car,Texto nota pie2,ft1,ft Car Car Car1,Texto nota pie Car2,ft Car Car2,ft Car Car Car,Footnote Text Char Car Char,fn1"/>
    <w:basedOn w:val="Normal"/>
    <w:link w:val="FootnoteTextChar"/>
    <w:uiPriority w:val="99"/>
    <w:pPr>
      <w:spacing w:after="240"/>
    </w:pPr>
    <w:rPr>
      <w:sz w:val="20"/>
    </w:rPr>
  </w:style>
  <w:style w:type="character" w:customStyle="1" w:styleId="FootnoteTextChar">
    <w:name w:val="Footnote Text Char"/>
    <w:aliases w:val="single space Char,fn Char,ft Char,ALTS FOOTNOTE Char,ADB Char,Footnote Text Char1 Char,FOOTNOTES Char,Texto nota pie Car Char,ft Car Char,ft Car Car Char,Texto nota pie2 Char,ft1 Char,ft Car Car Car1 Char,Texto nota pie Car2 Char"/>
    <w:basedOn w:val="DefaultParagraphFont"/>
    <w:link w:val="FootnoteText"/>
    <w:uiPriority w:val="99"/>
    <w:semiHidden/>
    <w:locked/>
    <w:rPr>
      <w:rFonts w:ascii="Times New Roman" w:hAnsi="Times New Roman"/>
      <w:sz w:val="16"/>
    </w:rPr>
  </w:style>
  <w:style w:type="paragraph" w:styleId="Index7">
    <w:name w:val="index 7"/>
    <w:basedOn w:val="Normal"/>
    <w:next w:val="Normal"/>
    <w:uiPriority w:val="99"/>
    <w:semiHidden/>
    <w:pPr>
      <w:ind w:left="1680" w:hanging="240"/>
    </w:pPr>
    <w:rPr>
      <w:szCs w:val="24"/>
    </w:rPr>
  </w:style>
  <w:style w:type="paragraph" w:styleId="ListBullet">
    <w:name w:val="List Bullet"/>
    <w:basedOn w:val="Normal"/>
    <w:uiPriority w:val="99"/>
    <w:qFormat/>
    <w:pPr>
      <w:numPr>
        <w:numId w:val="3"/>
      </w:numPr>
      <w:spacing w:after="240"/>
    </w:pPr>
  </w:style>
  <w:style w:type="paragraph" w:customStyle="1" w:styleId="ParagraphNumbering">
    <w:name w:val="Paragraph Numbering"/>
    <w:basedOn w:val="Normal"/>
    <w:qFormat/>
    <w:pPr>
      <w:numPr>
        <w:numId w:val="14"/>
      </w:numPr>
      <w:tabs>
        <w:tab w:val="clear" w:pos="1713"/>
        <w:tab w:val="num" w:pos="720"/>
      </w:tabs>
      <w:spacing w:after="240"/>
      <w:ind w:left="0"/>
    </w:pPr>
    <w:rPr>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Courier New" w:hAnsi="Courier New"/>
      <w:b/>
      <w:color w:val="800080"/>
      <w:sz w:val="24"/>
      <w:vertAlign w:val="subscript"/>
    </w:rPr>
  </w:style>
  <w:style w:type="paragraph" w:styleId="NoSpacing">
    <w:name w:val="No Spacing"/>
    <w:uiPriority w:val="1"/>
    <w:qFormat/>
    <w:rPr>
      <w:sz w:val="24"/>
      <w:szCs w:val="24"/>
      <w:lang w:eastAsia="sr-Latn-R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style>
  <w:style w:type="paragraph" w:customStyle="1" w:styleId="Text">
    <w:name w:val="* Text"/>
    <w:basedOn w:val="Normal"/>
    <w:pPr>
      <w:tabs>
        <w:tab w:val="left" w:pos="567"/>
      </w:tabs>
      <w:spacing w:before="140" w:line="280" w:lineRule="exact"/>
      <w:ind w:left="1701" w:right="113" w:hanging="567"/>
    </w:pPr>
    <w:rPr>
      <w:lang w:val="en-GB"/>
    </w:rPr>
  </w:style>
  <w:style w:type="paragraph" w:styleId="TOC1">
    <w:name w:val="toc 1"/>
    <w:basedOn w:val="Normal"/>
    <w:next w:val="Normal"/>
    <w:autoRedefine/>
    <w:uiPriority w:val="39"/>
    <w:qFormat/>
    <w:pPr>
      <w:tabs>
        <w:tab w:val="left" w:leader="dot" w:pos="9000"/>
      </w:tabs>
      <w:spacing w:before="240"/>
    </w:pPr>
  </w:style>
  <w:style w:type="paragraph" w:styleId="TOC2">
    <w:name w:val="toc 2"/>
    <w:basedOn w:val="Normal"/>
    <w:next w:val="Normal"/>
    <w:autoRedefine/>
    <w:uiPriority w:val="39"/>
    <w:qFormat/>
    <w:pPr>
      <w:tabs>
        <w:tab w:val="left" w:pos="720"/>
        <w:tab w:val="left" w:pos="1008"/>
        <w:tab w:val="left" w:pos="1440"/>
        <w:tab w:val="left" w:pos="2160"/>
        <w:tab w:val="left" w:leader="dot" w:pos="9000"/>
      </w:tabs>
      <w:ind w:left="1008"/>
    </w:pPr>
  </w:style>
  <w:style w:type="paragraph" w:styleId="TOC3">
    <w:name w:val="toc 3"/>
    <w:basedOn w:val="Normal"/>
    <w:next w:val="Normal"/>
    <w:autoRedefine/>
    <w:uiPriority w:val="39"/>
    <w:qFormat/>
    <w:pPr>
      <w:tabs>
        <w:tab w:val="left" w:leader="dot" w:pos="9000"/>
      </w:tabs>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style>
  <w:style w:type="paragraph" w:styleId="TableofFigures">
    <w:name w:val="table of figures"/>
    <w:basedOn w:val="Normal"/>
    <w:next w:val="Normal"/>
    <w:uiPriority w:val="99"/>
    <w:semiHidden/>
    <w:pPr>
      <w:tabs>
        <w:tab w:val="left" w:pos="720"/>
        <w:tab w:val="left" w:leader="dot" w:pos="9000"/>
      </w:tabs>
    </w:pPr>
  </w:style>
  <w:style w:type="paragraph" w:customStyle="1" w:styleId="UnnumberedHeading1">
    <w:name w:val="Unnumbered Heading 1"/>
    <w:basedOn w:val="Normal"/>
    <w:link w:val="EndnoteTextChar1"/>
    <w:pPr>
      <w:jc w:val="center"/>
    </w:pPr>
    <w:rPr>
      <w:b/>
      <w:smallCaps/>
    </w:rPr>
  </w:style>
  <w:style w:type="paragraph" w:customStyle="1" w:styleId="Appendix">
    <w:name w:val="Appendix"/>
    <w:basedOn w:val="Normal"/>
    <w:next w:val="Normal"/>
    <w:pPr>
      <w:spacing w:before="120" w:after="120"/>
      <w:jc w:val="center"/>
    </w:pPr>
    <w:rPr>
      <w:b/>
    </w:rPr>
  </w:style>
  <w:style w:type="paragraph" w:styleId="Caption">
    <w:name w:val="caption"/>
    <w:basedOn w:val="Normal"/>
    <w:next w:val="Normal"/>
    <w:uiPriority w:val="35"/>
    <w:qFormat/>
    <w:pPr>
      <w:tabs>
        <w:tab w:val="left" w:pos="720"/>
        <w:tab w:val="left" w:pos="1152"/>
        <w:tab w:val="left" w:pos="1584"/>
        <w:tab w:val="right" w:pos="9346"/>
      </w:tabs>
      <w:outlineLvl w:val="0"/>
    </w:pPr>
  </w:style>
  <w:style w:type="paragraph" w:styleId="TableofAuthorities">
    <w:name w:val="table of authorities"/>
    <w:basedOn w:val="Normal"/>
    <w:next w:val="Normal"/>
    <w:uiPriority w:val="99"/>
    <w:semiHidden/>
    <w:pPr>
      <w:ind w:left="240" w:hanging="240"/>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ind w:left="720"/>
      <w:contextualSpacing/>
    </w:pPr>
  </w:style>
  <w:style w:type="character" w:customStyle="1" w:styleId="ListParagraphChar">
    <w:name w:val="List Paragraph Char"/>
    <w:uiPriority w:val="34"/>
    <w:locked/>
    <w:rPr>
      <w:sz w:val="24"/>
    </w:rPr>
  </w:style>
  <w:style w:type="paragraph" w:styleId="TOCHeading">
    <w:name w:val="TOC Heading"/>
    <w:basedOn w:val="Heading1"/>
    <w:next w:val="Normal"/>
    <w:uiPriority w:val="39"/>
    <w:qFormat/>
    <w:pPr>
      <w:keepLines/>
      <w:spacing w:before="480" w:after="0" w:line="276" w:lineRule="auto"/>
      <w:jc w:val="left"/>
      <w:outlineLvl w:val="9"/>
    </w:pPr>
    <w:rPr>
      <w:rFonts w:ascii="Cambria" w:hAnsi="Cambria" w:cs="Times New Roman"/>
      <w:smallCaps w:val="0"/>
      <w:color w:val="365F91"/>
      <w:kern w:val="0"/>
      <w:sz w:val="28"/>
      <w:szCs w:val="28"/>
    </w:rPr>
  </w:style>
  <w:style w:type="character" w:styleId="CommentReference">
    <w:name w:val="annotation reference"/>
    <w:basedOn w:val="DefaultParagraphFont"/>
    <w:uiPriority w:val="8"/>
    <w:rPr>
      <w:sz w:val="16"/>
    </w:rPr>
  </w:style>
  <w:style w:type="paragraph" w:styleId="CommentText">
    <w:name w:val="annotation text"/>
    <w:basedOn w:val="Normal"/>
    <w:link w:val="CommentTextChar"/>
    <w:uiPriority w:val="99"/>
    <w:pPr>
      <w:spacing w:line="240" w:lineRule="auto"/>
    </w:pPr>
    <w:rPr>
      <w:sz w:val="20"/>
    </w:rPr>
  </w:style>
  <w:style w:type="character" w:customStyle="1" w:styleId="CommentTextChar">
    <w:name w:val="Comment Text Char"/>
    <w:basedOn w:val="DefaultParagraphFont"/>
    <w:link w:val="CommentText"/>
    <w:uiPriority w:val="1"/>
    <w:locked/>
    <w:rPr>
      <w:rFonts w:eastAsia="Times New Roman"/>
      <w:sz w:val="24"/>
    </w:rPr>
  </w:style>
  <w:style w:type="character" w:customStyle="1" w:styleId="tw4winMark">
    <w:name w:val="tw4winMark"/>
    <w:uiPriority w:val="99"/>
    <w:rPr>
      <w:rFonts w:ascii="Courier New" w:hAnsi="Courier New"/>
      <w:vanish/>
      <w:color w:val="800080"/>
      <w:sz w:val="24"/>
      <w:vertAlign w:val="subscript"/>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b/>
      <w:color w:val="800080"/>
      <w:sz w:val="24"/>
      <w:vertAlign w:val="subscript"/>
    </w:rPr>
  </w:style>
  <w:style w:type="paragraph" w:customStyle="1" w:styleId="Default">
    <w:name w:val="Default"/>
    <w:pPr>
      <w:autoSpaceDE w:val="0"/>
      <w:autoSpaceDN w:val="0"/>
      <w:adjustRightInd w:val="0"/>
    </w:pPr>
    <w:rPr>
      <w:color w:val="000000"/>
      <w:sz w:val="24"/>
      <w:szCs w:val="24"/>
      <w:lang w:val="en-GB" w:eastAsia="sr-Latn-RS"/>
    </w:rPr>
  </w:style>
  <w:style w:type="paragraph" w:customStyle="1" w:styleId="TableText">
    <w:name w:val="Table Text"/>
    <w:basedOn w:val="Normal"/>
    <w:qFormat/>
    <w:pPr>
      <w:spacing w:before="60" w:after="60" w:line="240" w:lineRule="auto"/>
    </w:pPr>
    <w:rPr>
      <w:rFonts w:ascii="Arial" w:hAnsi="Arial" w:cs="Arial"/>
      <w:color w:val="000000"/>
      <w:sz w:val="20"/>
    </w:rPr>
  </w:style>
  <w:style w:type="table" w:customStyle="1" w:styleId="GridTable4-Accent51">
    <w:name w:val="Grid Table 4 - Accent 51"/>
    <w:basedOn w:val="TableNormal"/>
    <w:uiPriority w:val="49"/>
    <w:rPr>
      <w:rFonts w:ascii="Calibri" w:hAnsi="Calibri"/>
      <w:sz w:val="22"/>
      <w:szCs w:val="22"/>
      <w:lang w:val="en-GB"/>
    </w:rPr>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style>
  <w:style w:type="paragraph" w:customStyle="1" w:styleId="XBulletR">
    <w:name w:val="XBulletR"/>
    <w:basedOn w:val="Normal"/>
    <w:pPr>
      <w:pBdr>
        <w:top w:val="single" w:sz="6" w:space="7" w:color="auto"/>
        <w:left w:val="single" w:sz="6" w:space="7" w:color="auto"/>
        <w:bottom w:val="single" w:sz="6" w:space="7" w:color="auto"/>
        <w:right w:val="single" w:sz="6" w:space="7" w:color="auto"/>
      </w:pBdr>
      <w:tabs>
        <w:tab w:val="left" w:pos="1699"/>
        <w:tab w:val="left" w:pos="2131"/>
      </w:tabs>
      <w:spacing w:before="240" w:line="240" w:lineRule="auto"/>
      <w:ind w:left="2132" w:right="216" w:hanging="994"/>
    </w:pPr>
    <w:rPr>
      <w:i/>
      <w:lang w:val="en-GB"/>
    </w:rPr>
  </w:style>
  <w:style w:type="paragraph" w:customStyle="1" w:styleId="SECTIONContents">
    <w:name w:val="SECTION Contents"/>
    <w:basedOn w:val="Normal"/>
    <w:pPr>
      <w:numPr>
        <w:numId w:val="16"/>
      </w:numPr>
      <w:spacing w:before="70" w:line="280" w:lineRule="exact"/>
      <w:ind w:right="113"/>
    </w:pPr>
    <w:rPr>
      <w:rFonts w:ascii="Arial" w:hAnsi="Arial"/>
      <w:sz w:val="18"/>
      <w:lang w:val="en-GB"/>
    </w:rPr>
  </w:style>
  <w:style w:type="paragraph" w:styleId="PlainText">
    <w:name w:val="Plain Text"/>
    <w:basedOn w:val="Normal"/>
    <w:link w:val="PlainTextChar"/>
    <w:uiPriority w:val="99"/>
    <w:pPr>
      <w:spacing w:line="240" w:lineRule="auto"/>
    </w:pPr>
    <w:rPr>
      <w:rFonts w:ascii="Calibri" w:hAnsi="Calibri"/>
      <w:sz w:val="22"/>
      <w:szCs w:val="22"/>
      <w:lang w:val="en-029"/>
    </w:rPr>
  </w:style>
  <w:style w:type="character" w:customStyle="1" w:styleId="PlainTextChar">
    <w:name w:val="Plain Text Char"/>
    <w:basedOn w:val="DefaultParagraphFont"/>
    <w:link w:val="PlainText"/>
    <w:uiPriority w:val="99"/>
    <w:semiHidden/>
    <w:locked/>
    <w:rPr>
      <w:rFonts w:ascii="Courier New" w:hAnsi="Courier New"/>
    </w:rPr>
  </w:style>
  <w:style w:type="character" w:customStyle="1" w:styleId="PlainTextChar1">
    <w:name w:val="Plain Text Char1"/>
    <w:uiPriority w:val="99"/>
    <w:locked/>
    <w:rPr>
      <w:rFonts w:ascii="Calibri" w:hAnsi="Calibri"/>
      <w:sz w:val="22"/>
      <w:lang w:val="en-029" w:eastAsia="x-none"/>
    </w:rPr>
  </w:style>
  <w:style w:type="character" w:customStyle="1" w:styleId="BodyTextChar1">
    <w:name w:val="Body Text Char1"/>
    <w:link w:val="TableNormal"/>
    <w:locked/>
    <w:rPr>
      <w:rFonts w:eastAsia="Times New Roman"/>
      <w:sz w:val="24"/>
      <w:lang w:val="en-GB" w:eastAsia="x-none"/>
    </w:rPr>
  </w:style>
  <w:style w:type="paragraph" w:styleId="NormalWeb">
    <w:name w:val="Normal (Web)"/>
    <w:basedOn w:val="Normal"/>
    <w:uiPriority w:val="99"/>
    <w:pPr>
      <w:spacing w:before="100" w:beforeAutospacing="1" w:after="100" w:afterAutospacing="1" w:line="240" w:lineRule="auto"/>
    </w:pPr>
    <w:rPr>
      <w:szCs w:val="24"/>
      <w:lang w:val="en-GB"/>
    </w:rPr>
  </w:style>
  <w:style w:type="paragraph" w:customStyle="1" w:styleId="Prrafodelista">
    <w:name w:val="Párrafo de lista"/>
    <w:basedOn w:val="Normal"/>
    <w:qFormat/>
    <w:pPr>
      <w:spacing w:line="240" w:lineRule="auto"/>
      <w:ind w:left="720"/>
    </w:pPr>
    <w:rPr>
      <w:szCs w:val="24"/>
      <w:lang w:val="en-GB"/>
    </w:rPr>
  </w:style>
  <w:style w:type="table" w:customStyle="1" w:styleId="TableGrid1">
    <w:name w:val="Table Grid1"/>
    <w:basedOn w:val="TableNormal"/>
    <w:uiPriority w:val="59"/>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2">
    <w:name w:val="CM22"/>
    <w:basedOn w:val="Default"/>
    <w:next w:val="Default"/>
    <w:uiPriority w:val="99"/>
    <w:pPr>
      <w:widowControl w:val="0"/>
    </w:pPr>
    <w:rPr>
      <w:color w:val="auto"/>
      <w:lang w:val="en-US"/>
    </w:rPr>
  </w:style>
  <w:style w:type="paragraph" w:customStyle="1" w:styleId="CM24">
    <w:name w:val="CM24"/>
    <w:basedOn w:val="Default"/>
    <w:next w:val="Default"/>
    <w:uiPriority w:val="99"/>
    <w:pPr>
      <w:widowControl w:val="0"/>
    </w:pPr>
    <w:rPr>
      <w:color w:val="auto"/>
      <w:lang w:val="en-US"/>
    </w:rPr>
  </w:style>
  <w:style w:type="character" w:customStyle="1" w:styleId="textitem">
    <w:name w:val="textitem"/>
  </w:style>
  <w:style w:type="paragraph" w:styleId="ListBullet2">
    <w:name w:val="List Bullet 2"/>
    <w:basedOn w:val="Normal"/>
    <w:uiPriority w:val="8"/>
    <w:pPr>
      <w:tabs>
        <w:tab w:val="num" w:pos="720"/>
      </w:tabs>
      <w:ind w:left="720" w:hanging="360"/>
      <w:contextualSpacing/>
    </w:pPr>
  </w:style>
  <w:style w:type="paragraph" w:customStyle="1" w:styleId="paragraphnumbering0">
    <w:name w:val="paragraphnumbering"/>
    <w:basedOn w:val="Normal"/>
    <w:pPr>
      <w:spacing w:before="100" w:beforeAutospacing="1" w:after="100" w:afterAutospacing="1" w:line="240" w:lineRule="auto"/>
    </w:pPr>
    <w:rPr>
      <w:szCs w:val="24"/>
    </w:rPr>
  </w:style>
  <w:style w:type="character" w:styleId="Emphasis">
    <w:name w:val="Emphasis"/>
    <w:basedOn w:val="DefaultParagraphFont"/>
    <w:uiPriority w:val="20"/>
    <w:qFormat/>
    <w:rPr>
      <w:b/>
    </w:rPr>
  </w:style>
  <w:style w:type="character" w:customStyle="1" w:styleId="st1">
    <w:name w:val="st1"/>
  </w:style>
  <w:style w:type="paragraph" w:styleId="Revision">
    <w:name w:val="Revision"/>
    <w:hidden/>
    <w:uiPriority w:val="99"/>
    <w:semiHidden/>
    <w:rPr>
      <w:sz w:val="24"/>
      <w:lang w:eastAsia="sr-Latn-RS"/>
    </w:rPr>
  </w:style>
  <w:style w:type="table" w:styleId="TableClassic1">
    <w:name w:val="Table Classic 1"/>
    <w:basedOn w:val="TableNormal"/>
    <w:uiPriority w:val="99"/>
    <w:rPr>
      <w:sz w:val="24"/>
      <w:szCs w:val="24"/>
    </w:rPr>
    <w:tblPr>
      <w:tblBorders>
        <w:top w:val="single" w:sz="12" w:space="0" w:color="000000"/>
        <w:bottom w:val="single" w:sz="12" w:space="0" w:color="000000"/>
      </w:tblBorders>
    </w:tblPr>
  </w:style>
  <w:style w:type="paragraph" w:customStyle="1" w:styleId="NormalBold">
    <w:name w:val="Normal+ Bold"/>
    <w:basedOn w:val="Normal"/>
    <w:pPr>
      <w:numPr>
        <w:numId w:val="18"/>
      </w:numPr>
      <w:spacing w:line="240" w:lineRule="auto"/>
    </w:pPr>
    <w:rPr>
      <w:b/>
      <w:sz w:val="22"/>
      <w:szCs w:val="22"/>
      <w:lang w:val="en-GB"/>
    </w:rPr>
  </w:style>
  <w:style w:type="paragraph" w:customStyle="1" w:styleId="Heading1Garamond">
    <w:name w:val="Heading 1 + Garamond"/>
    <w:aliases w:val="Black"/>
    <w:basedOn w:val="Heading1"/>
    <w:next w:val="Normal"/>
    <w:pPr>
      <w:spacing w:before="240" w:after="60" w:line="240" w:lineRule="auto"/>
    </w:pPr>
    <w:rPr>
      <w:rFonts w:ascii="Garamond" w:hAnsi="Garamond" w:cs="Times New Roman"/>
      <w:smallCaps w:val="0"/>
      <w:color w:val="A6A6A6"/>
      <w:kern w:val="32"/>
      <w:sz w:val="32"/>
      <w:lang w:val="en-GB"/>
    </w:rPr>
  </w:style>
  <w:style w:type="character" w:customStyle="1" w:styleId="hps">
    <w:name w:val="hps"/>
  </w:style>
  <w:style w:type="paragraph" w:styleId="EndnoteText">
    <w:name w:val="endnote text"/>
    <w:basedOn w:val="Normal"/>
    <w:link w:val="EndnoteTextChar"/>
    <w:uiPriority w:val="99"/>
    <w:semiHidden/>
    <w:pPr>
      <w:spacing w:line="240" w:lineRule="auto"/>
    </w:pPr>
    <w:rPr>
      <w:sz w:val="20"/>
    </w:rPr>
  </w:style>
  <w:style w:type="character" w:customStyle="1" w:styleId="EndnoteTextChar">
    <w:name w:val="Endnote Text Char"/>
    <w:basedOn w:val="DefaultParagraphFont"/>
    <w:link w:val="EndnoteText"/>
    <w:uiPriority w:val="99"/>
    <w:semiHidden/>
    <w:locked/>
    <w:rPr>
      <w:rFonts w:ascii="Times New Roman" w:hAnsi="Times New Roman"/>
    </w:rPr>
  </w:style>
  <w:style w:type="character" w:customStyle="1" w:styleId="EndnoteTextChar1">
    <w:name w:val="Endnote Text Char1"/>
    <w:link w:val="UnnumberedHeading1"/>
    <w:semiHidden/>
    <w:locked/>
  </w:style>
  <w:style w:type="character" w:styleId="EndnoteReference">
    <w:name w:val="endnote reference"/>
    <w:basedOn w:val="DefaultParagraphFont"/>
    <w:uiPriority w:val="99"/>
    <w:semiHidden/>
    <w:rPr>
      <w:vertAlign w:val="superscript"/>
    </w:rPr>
  </w:style>
  <w:style w:type="character" w:customStyle="1" w:styleId="gt-icon-text1">
    <w:name w:val="gt-icon-text1"/>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12325">
      <w:marLeft w:val="0"/>
      <w:marRight w:val="0"/>
      <w:marTop w:val="0"/>
      <w:marBottom w:val="0"/>
      <w:divBdr>
        <w:top w:val="none" w:sz="0" w:space="0" w:color="auto"/>
        <w:left w:val="none" w:sz="0" w:space="0" w:color="auto"/>
        <w:bottom w:val="none" w:sz="0" w:space="0" w:color="auto"/>
        <w:right w:val="none" w:sz="0" w:space="0" w:color="auto"/>
      </w:divBdr>
    </w:div>
    <w:div w:id="1664312326">
      <w:marLeft w:val="0"/>
      <w:marRight w:val="0"/>
      <w:marTop w:val="0"/>
      <w:marBottom w:val="0"/>
      <w:divBdr>
        <w:top w:val="none" w:sz="0" w:space="0" w:color="auto"/>
        <w:left w:val="none" w:sz="0" w:space="0" w:color="auto"/>
        <w:bottom w:val="none" w:sz="0" w:space="0" w:color="auto"/>
        <w:right w:val="none" w:sz="0" w:space="0" w:color="auto"/>
      </w:divBdr>
      <w:divsChild>
        <w:div w:id="1664312381">
          <w:marLeft w:val="0"/>
          <w:marRight w:val="0"/>
          <w:marTop w:val="0"/>
          <w:marBottom w:val="0"/>
          <w:divBdr>
            <w:top w:val="none" w:sz="0" w:space="0" w:color="auto"/>
            <w:left w:val="none" w:sz="0" w:space="0" w:color="auto"/>
            <w:bottom w:val="none" w:sz="0" w:space="0" w:color="auto"/>
            <w:right w:val="none" w:sz="0" w:space="0" w:color="auto"/>
          </w:divBdr>
          <w:divsChild>
            <w:div w:id="1664312340">
              <w:marLeft w:val="0"/>
              <w:marRight w:val="0"/>
              <w:marTop w:val="0"/>
              <w:marBottom w:val="0"/>
              <w:divBdr>
                <w:top w:val="none" w:sz="0" w:space="0" w:color="auto"/>
                <w:left w:val="none" w:sz="0" w:space="0" w:color="auto"/>
                <w:bottom w:val="none" w:sz="0" w:space="0" w:color="auto"/>
                <w:right w:val="none" w:sz="0" w:space="0" w:color="auto"/>
              </w:divBdr>
            </w:div>
            <w:div w:id="1664312349">
              <w:marLeft w:val="0"/>
              <w:marRight w:val="0"/>
              <w:marTop w:val="0"/>
              <w:marBottom w:val="0"/>
              <w:divBdr>
                <w:top w:val="none" w:sz="0" w:space="0" w:color="auto"/>
                <w:left w:val="none" w:sz="0" w:space="0" w:color="auto"/>
                <w:bottom w:val="none" w:sz="0" w:space="0" w:color="auto"/>
                <w:right w:val="none" w:sz="0" w:space="0" w:color="auto"/>
              </w:divBdr>
            </w:div>
            <w:div w:id="1664312366">
              <w:marLeft w:val="0"/>
              <w:marRight w:val="0"/>
              <w:marTop w:val="0"/>
              <w:marBottom w:val="0"/>
              <w:divBdr>
                <w:top w:val="none" w:sz="0" w:space="0" w:color="auto"/>
                <w:left w:val="none" w:sz="0" w:space="0" w:color="auto"/>
                <w:bottom w:val="none" w:sz="0" w:space="0" w:color="auto"/>
                <w:right w:val="none" w:sz="0" w:space="0" w:color="auto"/>
              </w:divBdr>
            </w:div>
            <w:div w:id="16643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327">
      <w:marLeft w:val="0"/>
      <w:marRight w:val="0"/>
      <w:marTop w:val="0"/>
      <w:marBottom w:val="0"/>
      <w:divBdr>
        <w:top w:val="none" w:sz="0" w:space="0" w:color="auto"/>
        <w:left w:val="none" w:sz="0" w:space="0" w:color="auto"/>
        <w:bottom w:val="none" w:sz="0" w:space="0" w:color="auto"/>
        <w:right w:val="none" w:sz="0" w:space="0" w:color="auto"/>
      </w:divBdr>
    </w:div>
    <w:div w:id="1664312328">
      <w:marLeft w:val="0"/>
      <w:marRight w:val="0"/>
      <w:marTop w:val="0"/>
      <w:marBottom w:val="0"/>
      <w:divBdr>
        <w:top w:val="none" w:sz="0" w:space="0" w:color="auto"/>
        <w:left w:val="none" w:sz="0" w:space="0" w:color="auto"/>
        <w:bottom w:val="none" w:sz="0" w:space="0" w:color="auto"/>
        <w:right w:val="none" w:sz="0" w:space="0" w:color="auto"/>
      </w:divBdr>
    </w:div>
    <w:div w:id="1664312329">
      <w:marLeft w:val="0"/>
      <w:marRight w:val="0"/>
      <w:marTop w:val="0"/>
      <w:marBottom w:val="0"/>
      <w:divBdr>
        <w:top w:val="none" w:sz="0" w:space="0" w:color="auto"/>
        <w:left w:val="none" w:sz="0" w:space="0" w:color="auto"/>
        <w:bottom w:val="none" w:sz="0" w:space="0" w:color="auto"/>
        <w:right w:val="none" w:sz="0" w:space="0" w:color="auto"/>
      </w:divBdr>
    </w:div>
    <w:div w:id="1664312330">
      <w:marLeft w:val="0"/>
      <w:marRight w:val="0"/>
      <w:marTop w:val="0"/>
      <w:marBottom w:val="0"/>
      <w:divBdr>
        <w:top w:val="none" w:sz="0" w:space="0" w:color="auto"/>
        <w:left w:val="none" w:sz="0" w:space="0" w:color="auto"/>
        <w:bottom w:val="none" w:sz="0" w:space="0" w:color="auto"/>
        <w:right w:val="none" w:sz="0" w:space="0" w:color="auto"/>
      </w:divBdr>
    </w:div>
    <w:div w:id="1664312331">
      <w:marLeft w:val="0"/>
      <w:marRight w:val="0"/>
      <w:marTop w:val="0"/>
      <w:marBottom w:val="0"/>
      <w:divBdr>
        <w:top w:val="none" w:sz="0" w:space="0" w:color="auto"/>
        <w:left w:val="none" w:sz="0" w:space="0" w:color="auto"/>
        <w:bottom w:val="none" w:sz="0" w:space="0" w:color="auto"/>
        <w:right w:val="none" w:sz="0" w:space="0" w:color="auto"/>
      </w:divBdr>
    </w:div>
    <w:div w:id="1664312332">
      <w:marLeft w:val="0"/>
      <w:marRight w:val="0"/>
      <w:marTop w:val="0"/>
      <w:marBottom w:val="0"/>
      <w:divBdr>
        <w:top w:val="none" w:sz="0" w:space="0" w:color="auto"/>
        <w:left w:val="none" w:sz="0" w:space="0" w:color="auto"/>
        <w:bottom w:val="none" w:sz="0" w:space="0" w:color="auto"/>
        <w:right w:val="none" w:sz="0" w:space="0" w:color="auto"/>
      </w:divBdr>
    </w:div>
    <w:div w:id="1664312333">
      <w:marLeft w:val="0"/>
      <w:marRight w:val="0"/>
      <w:marTop w:val="0"/>
      <w:marBottom w:val="0"/>
      <w:divBdr>
        <w:top w:val="none" w:sz="0" w:space="0" w:color="auto"/>
        <w:left w:val="none" w:sz="0" w:space="0" w:color="auto"/>
        <w:bottom w:val="none" w:sz="0" w:space="0" w:color="auto"/>
        <w:right w:val="none" w:sz="0" w:space="0" w:color="auto"/>
      </w:divBdr>
    </w:div>
    <w:div w:id="1664312334">
      <w:marLeft w:val="0"/>
      <w:marRight w:val="0"/>
      <w:marTop w:val="0"/>
      <w:marBottom w:val="0"/>
      <w:divBdr>
        <w:top w:val="none" w:sz="0" w:space="0" w:color="auto"/>
        <w:left w:val="none" w:sz="0" w:space="0" w:color="auto"/>
        <w:bottom w:val="none" w:sz="0" w:space="0" w:color="auto"/>
        <w:right w:val="none" w:sz="0" w:space="0" w:color="auto"/>
      </w:divBdr>
    </w:div>
    <w:div w:id="1664312335">
      <w:marLeft w:val="0"/>
      <w:marRight w:val="0"/>
      <w:marTop w:val="0"/>
      <w:marBottom w:val="0"/>
      <w:divBdr>
        <w:top w:val="none" w:sz="0" w:space="0" w:color="auto"/>
        <w:left w:val="none" w:sz="0" w:space="0" w:color="auto"/>
        <w:bottom w:val="none" w:sz="0" w:space="0" w:color="auto"/>
        <w:right w:val="none" w:sz="0" w:space="0" w:color="auto"/>
      </w:divBdr>
    </w:div>
    <w:div w:id="1664312336">
      <w:marLeft w:val="0"/>
      <w:marRight w:val="0"/>
      <w:marTop w:val="0"/>
      <w:marBottom w:val="0"/>
      <w:divBdr>
        <w:top w:val="none" w:sz="0" w:space="0" w:color="auto"/>
        <w:left w:val="none" w:sz="0" w:space="0" w:color="auto"/>
        <w:bottom w:val="none" w:sz="0" w:space="0" w:color="auto"/>
        <w:right w:val="none" w:sz="0" w:space="0" w:color="auto"/>
      </w:divBdr>
    </w:div>
    <w:div w:id="1664312337">
      <w:marLeft w:val="0"/>
      <w:marRight w:val="0"/>
      <w:marTop w:val="0"/>
      <w:marBottom w:val="0"/>
      <w:divBdr>
        <w:top w:val="none" w:sz="0" w:space="0" w:color="auto"/>
        <w:left w:val="none" w:sz="0" w:space="0" w:color="auto"/>
        <w:bottom w:val="none" w:sz="0" w:space="0" w:color="auto"/>
        <w:right w:val="none" w:sz="0" w:space="0" w:color="auto"/>
      </w:divBdr>
    </w:div>
    <w:div w:id="1664312338">
      <w:marLeft w:val="0"/>
      <w:marRight w:val="0"/>
      <w:marTop w:val="0"/>
      <w:marBottom w:val="0"/>
      <w:divBdr>
        <w:top w:val="none" w:sz="0" w:space="0" w:color="auto"/>
        <w:left w:val="none" w:sz="0" w:space="0" w:color="auto"/>
        <w:bottom w:val="none" w:sz="0" w:space="0" w:color="auto"/>
        <w:right w:val="none" w:sz="0" w:space="0" w:color="auto"/>
      </w:divBdr>
    </w:div>
    <w:div w:id="1664312339">
      <w:marLeft w:val="0"/>
      <w:marRight w:val="0"/>
      <w:marTop w:val="0"/>
      <w:marBottom w:val="0"/>
      <w:divBdr>
        <w:top w:val="none" w:sz="0" w:space="0" w:color="auto"/>
        <w:left w:val="none" w:sz="0" w:space="0" w:color="auto"/>
        <w:bottom w:val="none" w:sz="0" w:space="0" w:color="auto"/>
        <w:right w:val="none" w:sz="0" w:space="0" w:color="auto"/>
      </w:divBdr>
    </w:div>
    <w:div w:id="1664312341">
      <w:marLeft w:val="0"/>
      <w:marRight w:val="0"/>
      <w:marTop w:val="0"/>
      <w:marBottom w:val="0"/>
      <w:divBdr>
        <w:top w:val="none" w:sz="0" w:space="0" w:color="auto"/>
        <w:left w:val="none" w:sz="0" w:space="0" w:color="auto"/>
        <w:bottom w:val="none" w:sz="0" w:space="0" w:color="auto"/>
        <w:right w:val="none" w:sz="0" w:space="0" w:color="auto"/>
      </w:divBdr>
    </w:div>
    <w:div w:id="1664312342">
      <w:marLeft w:val="0"/>
      <w:marRight w:val="0"/>
      <w:marTop w:val="0"/>
      <w:marBottom w:val="0"/>
      <w:divBdr>
        <w:top w:val="none" w:sz="0" w:space="0" w:color="auto"/>
        <w:left w:val="none" w:sz="0" w:space="0" w:color="auto"/>
        <w:bottom w:val="none" w:sz="0" w:space="0" w:color="auto"/>
        <w:right w:val="none" w:sz="0" w:space="0" w:color="auto"/>
      </w:divBdr>
    </w:div>
    <w:div w:id="1664312343">
      <w:marLeft w:val="0"/>
      <w:marRight w:val="0"/>
      <w:marTop w:val="0"/>
      <w:marBottom w:val="0"/>
      <w:divBdr>
        <w:top w:val="none" w:sz="0" w:space="0" w:color="auto"/>
        <w:left w:val="none" w:sz="0" w:space="0" w:color="auto"/>
        <w:bottom w:val="none" w:sz="0" w:space="0" w:color="auto"/>
        <w:right w:val="none" w:sz="0" w:space="0" w:color="auto"/>
      </w:divBdr>
    </w:div>
    <w:div w:id="1664312344">
      <w:marLeft w:val="0"/>
      <w:marRight w:val="0"/>
      <w:marTop w:val="0"/>
      <w:marBottom w:val="0"/>
      <w:divBdr>
        <w:top w:val="none" w:sz="0" w:space="0" w:color="auto"/>
        <w:left w:val="none" w:sz="0" w:space="0" w:color="auto"/>
        <w:bottom w:val="none" w:sz="0" w:space="0" w:color="auto"/>
        <w:right w:val="none" w:sz="0" w:space="0" w:color="auto"/>
      </w:divBdr>
    </w:div>
    <w:div w:id="1664312345">
      <w:marLeft w:val="0"/>
      <w:marRight w:val="0"/>
      <w:marTop w:val="0"/>
      <w:marBottom w:val="0"/>
      <w:divBdr>
        <w:top w:val="none" w:sz="0" w:space="0" w:color="auto"/>
        <w:left w:val="none" w:sz="0" w:space="0" w:color="auto"/>
        <w:bottom w:val="none" w:sz="0" w:space="0" w:color="auto"/>
        <w:right w:val="none" w:sz="0" w:space="0" w:color="auto"/>
      </w:divBdr>
    </w:div>
    <w:div w:id="1664312346">
      <w:marLeft w:val="0"/>
      <w:marRight w:val="0"/>
      <w:marTop w:val="0"/>
      <w:marBottom w:val="0"/>
      <w:divBdr>
        <w:top w:val="none" w:sz="0" w:space="0" w:color="auto"/>
        <w:left w:val="none" w:sz="0" w:space="0" w:color="auto"/>
        <w:bottom w:val="none" w:sz="0" w:space="0" w:color="auto"/>
        <w:right w:val="none" w:sz="0" w:space="0" w:color="auto"/>
      </w:divBdr>
    </w:div>
    <w:div w:id="1664312347">
      <w:marLeft w:val="0"/>
      <w:marRight w:val="0"/>
      <w:marTop w:val="0"/>
      <w:marBottom w:val="0"/>
      <w:divBdr>
        <w:top w:val="none" w:sz="0" w:space="0" w:color="auto"/>
        <w:left w:val="none" w:sz="0" w:space="0" w:color="auto"/>
        <w:bottom w:val="none" w:sz="0" w:space="0" w:color="auto"/>
        <w:right w:val="none" w:sz="0" w:space="0" w:color="auto"/>
      </w:divBdr>
    </w:div>
    <w:div w:id="1664312348">
      <w:marLeft w:val="0"/>
      <w:marRight w:val="0"/>
      <w:marTop w:val="0"/>
      <w:marBottom w:val="0"/>
      <w:divBdr>
        <w:top w:val="none" w:sz="0" w:space="0" w:color="auto"/>
        <w:left w:val="none" w:sz="0" w:space="0" w:color="auto"/>
        <w:bottom w:val="none" w:sz="0" w:space="0" w:color="auto"/>
        <w:right w:val="none" w:sz="0" w:space="0" w:color="auto"/>
      </w:divBdr>
    </w:div>
    <w:div w:id="1664312350">
      <w:marLeft w:val="0"/>
      <w:marRight w:val="0"/>
      <w:marTop w:val="0"/>
      <w:marBottom w:val="0"/>
      <w:divBdr>
        <w:top w:val="none" w:sz="0" w:space="0" w:color="auto"/>
        <w:left w:val="none" w:sz="0" w:space="0" w:color="auto"/>
        <w:bottom w:val="none" w:sz="0" w:space="0" w:color="auto"/>
        <w:right w:val="none" w:sz="0" w:space="0" w:color="auto"/>
      </w:divBdr>
    </w:div>
    <w:div w:id="1664312351">
      <w:marLeft w:val="0"/>
      <w:marRight w:val="0"/>
      <w:marTop w:val="0"/>
      <w:marBottom w:val="0"/>
      <w:divBdr>
        <w:top w:val="none" w:sz="0" w:space="0" w:color="auto"/>
        <w:left w:val="none" w:sz="0" w:space="0" w:color="auto"/>
        <w:bottom w:val="none" w:sz="0" w:space="0" w:color="auto"/>
        <w:right w:val="none" w:sz="0" w:space="0" w:color="auto"/>
      </w:divBdr>
    </w:div>
    <w:div w:id="1664312352">
      <w:marLeft w:val="0"/>
      <w:marRight w:val="0"/>
      <w:marTop w:val="0"/>
      <w:marBottom w:val="0"/>
      <w:divBdr>
        <w:top w:val="none" w:sz="0" w:space="0" w:color="auto"/>
        <w:left w:val="none" w:sz="0" w:space="0" w:color="auto"/>
        <w:bottom w:val="none" w:sz="0" w:space="0" w:color="auto"/>
        <w:right w:val="none" w:sz="0" w:space="0" w:color="auto"/>
      </w:divBdr>
    </w:div>
    <w:div w:id="1664312353">
      <w:marLeft w:val="0"/>
      <w:marRight w:val="0"/>
      <w:marTop w:val="0"/>
      <w:marBottom w:val="0"/>
      <w:divBdr>
        <w:top w:val="none" w:sz="0" w:space="0" w:color="auto"/>
        <w:left w:val="none" w:sz="0" w:space="0" w:color="auto"/>
        <w:bottom w:val="none" w:sz="0" w:space="0" w:color="auto"/>
        <w:right w:val="none" w:sz="0" w:space="0" w:color="auto"/>
      </w:divBdr>
    </w:div>
    <w:div w:id="1664312354">
      <w:marLeft w:val="0"/>
      <w:marRight w:val="0"/>
      <w:marTop w:val="0"/>
      <w:marBottom w:val="0"/>
      <w:divBdr>
        <w:top w:val="none" w:sz="0" w:space="0" w:color="auto"/>
        <w:left w:val="none" w:sz="0" w:space="0" w:color="auto"/>
        <w:bottom w:val="none" w:sz="0" w:space="0" w:color="auto"/>
        <w:right w:val="none" w:sz="0" w:space="0" w:color="auto"/>
      </w:divBdr>
    </w:div>
    <w:div w:id="1664312355">
      <w:marLeft w:val="0"/>
      <w:marRight w:val="0"/>
      <w:marTop w:val="0"/>
      <w:marBottom w:val="0"/>
      <w:divBdr>
        <w:top w:val="none" w:sz="0" w:space="0" w:color="auto"/>
        <w:left w:val="none" w:sz="0" w:space="0" w:color="auto"/>
        <w:bottom w:val="none" w:sz="0" w:space="0" w:color="auto"/>
        <w:right w:val="none" w:sz="0" w:space="0" w:color="auto"/>
      </w:divBdr>
    </w:div>
    <w:div w:id="1664312356">
      <w:marLeft w:val="0"/>
      <w:marRight w:val="0"/>
      <w:marTop w:val="0"/>
      <w:marBottom w:val="0"/>
      <w:divBdr>
        <w:top w:val="none" w:sz="0" w:space="0" w:color="auto"/>
        <w:left w:val="none" w:sz="0" w:space="0" w:color="auto"/>
        <w:bottom w:val="none" w:sz="0" w:space="0" w:color="auto"/>
        <w:right w:val="none" w:sz="0" w:space="0" w:color="auto"/>
      </w:divBdr>
    </w:div>
    <w:div w:id="1664312357">
      <w:marLeft w:val="0"/>
      <w:marRight w:val="0"/>
      <w:marTop w:val="0"/>
      <w:marBottom w:val="0"/>
      <w:divBdr>
        <w:top w:val="none" w:sz="0" w:space="0" w:color="auto"/>
        <w:left w:val="none" w:sz="0" w:space="0" w:color="auto"/>
        <w:bottom w:val="none" w:sz="0" w:space="0" w:color="auto"/>
        <w:right w:val="none" w:sz="0" w:space="0" w:color="auto"/>
      </w:divBdr>
    </w:div>
    <w:div w:id="1664312358">
      <w:marLeft w:val="0"/>
      <w:marRight w:val="0"/>
      <w:marTop w:val="0"/>
      <w:marBottom w:val="0"/>
      <w:divBdr>
        <w:top w:val="none" w:sz="0" w:space="0" w:color="auto"/>
        <w:left w:val="none" w:sz="0" w:space="0" w:color="auto"/>
        <w:bottom w:val="none" w:sz="0" w:space="0" w:color="auto"/>
        <w:right w:val="none" w:sz="0" w:space="0" w:color="auto"/>
      </w:divBdr>
    </w:div>
    <w:div w:id="1664312359">
      <w:marLeft w:val="0"/>
      <w:marRight w:val="0"/>
      <w:marTop w:val="0"/>
      <w:marBottom w:val="0"/>
      <w:divBdr>
        <w:top w:val="none" w:sz="0" w:space="0" w:color="auto"/>
        <w:left w:val="none" w:sz="0" w:space="0" w:color="auto"/>
        <w:bottom w:val="none" w:sz="0" w:space="0" w:color="auto"/>
        <w:right w:val="none" w:sz="0" w:space="0" w:color="auto"/>
      </w:divBdr>
    </w:div>
    <w:div w:id="1664312360">
      <w:marLeft w:val="0"/>
      <w:marRight w:val="0"/>
      <w:marTop w:val="0"/>
      <w:marBottom w:val="0"/>
      <w:divBdr>
        <w:top w:val="none" w:sz="0" w:space="0" w:color="auto"/>
        <w:left w:val="none" w:sz="0" w:space="0" w:color="auto"/>
        <w:bottom w:val="none" w:sz="0" w:space="0" w:color="auto"/>
        <w:right w:val="none" w:sz="0" w:space="0" w:color="auto"/>
      </w:divBdr>
    </w:div>
    <w:div w:id="1664312361">
      <w:marLeft w:val="0"/>
      <w:marRight w:val="0"/>
      <w:marTop w:val="0"/>
      <w:marBottom w:val="0"/>
      <w:divBdr>
        <w:top w:val="none" w:sz="0" w:space="0" w:color="auto"/>
        <w:left w:val="none" w:sz="0" w:space="0" w:color="auto"/>
        <w:bottom w:val="none" w:sz="0" w:space="0" w:color="auto"/>
        <w:right w:val="none" w:sz="0" w:space="0" w:color="auto"/>
      </w:divBdr>
    </w:div>
    <w:div w:id="1664312362">
      <w:marLeft w:val="0"/>
      <w:marRight w:val="0"/>
      <w:marTop w:val="0"/>
      <w:marBottom w:val="0"/>
      <w:divBdr>
        <w:top w:val="none" w:sz="0" w:space="0" w:color="auto"/>
        <w:left w:val="none" w:sz="0" w:space="0" w:color="auto"/>
        <w:bottom w:val="none" w:sz="0" w:space="0" w:color="auto"/>
        <w:right w:val="none" w:sz="0" w:space="0" w:color="auto"/>
      </w:divBdr>
    </w:div>
    <w:div w:id="1664312363">
      <w:marLeft w:val="0"/>
      <w:marRight w:val="0"/>
      <w:marTop w:val="0"/>
      <w:marBottom w:val="0"/>
      <w:divBdr>
        <w:top w:val="none" w:sz="0" w:space="0" w:color="auto"/>
        <w:left w:val="none" w:sz="0" w:space="0" w:color="auto"/>
        <w:bottom w:val="none" w:sz="0" w:space="0" w:color="auto"/>
        <w:right w:val="none" w:sz="0" w:space="0" w:color="auto"/>
      </w:divBdr>
    </w:div>
    <w:div w:id="1664312364">
      <w:marLeft w:val="0"/>
      <w:marRight w:val="0"/>
      <w:marTop w:val="0"/>
      <w:marBottom w:val="0"/>
      <w:divBdr>
        <w:top w:val="none" w:sz="0" w:space="0" w:color="auto"/>
        <w:left w:val="none" w:sz="0" w:space="0" w:color="auto"/>
        <w:bottom w:val="none" w:sz="0" w:space="0" w:color="auto"/>
        <w:right w:val="none" w:sz="0" w:space="0" w:color="auto"/>
      </w:divBdr>
    </w:div>
    <w:div w:id="1664312365">
      <w:marLeft w:val="0"/>
      <w:marRight w:val="0"/>
      <w:marTop w:val="0"/>
      <w:marBottom w:val="0"/>
      <w:divBdr>
        <w:top w:val="none" w:sz="0" w:space="0" w:color="auto"/>
        <w:left w:val="none" w:sz="0" w:space="0" w:color="auto"/>
        <w:bottom w:val="none" w:sz="0" w:space="0" w:color="auto"/>
        <w:right w:val="none" w:sz="0" w:space="0" w:color="auto"/>
      </w:divBdr>
    </w:div>
    <w:div w:id="1664312367">
      <w:marLeft w:val="0"/>
      <w:marRight w:val="0"/>
      <w:marTop w:val="0"/>
      <w:marBottom w:val="0"/>
      <w:divBdr>
        <w:top w:val="none" w:sz="0" w:space="0" w:color="auto"/>
        <w:left w:val="none" w:sz="0" w:space="0" w:color="auto"/>
        <w:bottom w:val="none" w:sz="0" w:space="0" w:color="auto"/>
        <w:right w:val="none" w:sz="0" w:space="0" w:color="auto"/>
      </w:divBdr>
    </w:div>
    <w:div w:id="1664312368">
      <w:marLeft w:val="0"/>
      <w:marRight w:val="0"/>
      <w:marTop w:val="0"/>
      <w:marBottom w:val="0"/>
      <w:divBdr>
        <w:top w:val="none" w:sz="0" w:space="0" w:color="auto"/>
        <w:left w:val="none" w:sz="0" w:space="0" w:color="auto"/>
        <w:bottom w:val="none" w:sz="0" w:space="0" w:color="auto"/>
        <w:right w:val="none" w:sz="0" w:space="0" w:color="auto"/>
      </w:divBdr>
    </w:div>
    <w:div w:id="1664312369">
      <w:marLeft w:val="0"/>
      <w:marRight w:val="0"/>
      <w:marTop w:val="0"/>
      <w:marBottom w:val="0"/>
      <w:divBdr>
        <w:top w:val="none" w:sz="0" w:space="0" w:color="auto"/>
        <w:left w:val="none" w:sz="0" w:space="0" w:color="auto"/>
        <w:bottom w:val="none" w:sz="0" w:space="0" w:color="auto"/>
        <w:right w:val="none" w:sz="0" w:space="0" w:color="auto"/>
      </w:divBdr>
    </w:div>
    <w:div w:id="1664312370">
      <w:marLeft w:val="0"/>
      <w:marRight w:val="0"/>
      <w:marTop w:val="0"/>
      <w:marBottom w:val="0"/>
      <w:divBdr>
        <w:top w:val="none" w:sz="0" w:space="0" w:color="auto"/>
        <w:left w:val="none" w:sz="0" w:space="0" w:color="auto"/>
        <w:bottom w:val="none" w:sz="0" w:space="0" w:color="auto"/>
        <w:right w:val="none" w:sz="0" w:space="0" w:color="auto"/>
      </w:divBdr>
    </w:div>
    <w:div w:id="1664312371">
      <w:marLeft w:val="0"/>
      <w:marRight w:val="0"/>
      <w:marTop w:val="0"/>
      <w:marBottom w:val="0"/>
      <w:divBdr>
        <w:top w:val="none" w:sz="0" w:space="0" w:color="auto"/>
        <w:left w:val="none" w:sz="0" w:space="0" w:color="auto"/>
        <w:bottom w:val="none" w:sz="0" w:space="0" w:color="auto"/>
        <w:right w:val="none" w:sz="0" w:space="0" w:color="auto"/>
      </w:divBdr>
    </w:div>
    <w:div w:id="1664312372">
      <w:marLeft w:val="0"/>
      <w:marRight w:val="0"/>
      <w:marTop w:val="0"/>
      <w:marBottom w:val="0"/>
      <w:divBdr>
        <w:top w:val="none" w:sz="0" w:space="0" w:color="auto"/>
        <w:left w:val="none" w:sz="0" w:space="0" w:color="auto"/>
        <w:bottom w:val="none" w:sz="0" w:space="0" w:color="auto"/>
        <w:right w:val="none" w:sz="0" w:space="0" w:color="auto"/>
      </w:divBdr>
    </w:div>
    <w:div w:id="1664312373">
      <w:marLeft w:val="0"/>
      <w:marRight w:val="0"/>
      <w:marTop w:val="0"/>
      <w:marBottom w:val="0"/>
      <w:divBdr>
        <w:top w:val="none" w:sz="0" w:space="0" w:color="auto"/>
        <w:left w:val="none" w:sz="0" w:space="0" w:color="auto"/>
        <w:bottom w:val="none" w:sz="0" w:space="0" w:color="auto"/>
        <w:right w:val="none" w:sz="0" w:space="0" w:color="auto"/>
      </w:divBdr>
    </w:div>
    <w:div w:id="1664312374">
      <w:marLeft w:val="0"/>
      <w:marRight w:val="0"/>
      <w:marTop w:val="0"/>
      <w:marBottom w:val="0"/>
      <w:divBdr>
        <w:top w:val="none" w:sz="0" w:space="0" w:color="auto"/>
        <w:left w:val="none" w:sz="0" w:space="0" w:color="auto"/>
        <w:bottom w:val="none" w:sz="0" w:space="0" w:color="auto"/>
        <w:right w:val="none" w:sz="0" w:space="0" w:color="auto"/>
      </w:divBdr>
    </w:div>
    <w:div w:id="1664312375">
      <w:marLeft w:val="0"/>
      <w:marRight w:val="0"/>
      <w:marTop w:val="0"/>
      <w:marBottom w:val="0"/>
      <w:divBdr>
        <w:top w:val="none" w:sz="0" w:space="0" w:color="auto"/>
        <w:left w:val="none" w:sz="0" w:space="0" w:color="auto"/>
        <w:bottom w:val="none" w:sz="0" w:space="0" w:color="auto"/>
        <w:right w:val="none" w:sz="0" w:space="0" w:color="auto"/>
      </w:divBdr>
    </w:div>
    <w:div w:id="1664312376">
      <w:marLeft w:val="0"/>
      <w:marRight w:val="0"/>
      <w:marTop w:val="0"/>
      <w:marBottom w:val="0"/>
      <w:divBdr>
        <w:top w:val="none" w:sz="0" w:space="0" w:color="auto"/>
        <w:left w:val="none" w:sz="0" w:space="0" w:color="auto"/>
        <w:bottom w:val="none" w:sz="0" w:space="0" w:color="auto"/>
        <w:right w:val="none" w:sz="0" w:space="0" w:color="auto"/>
      </w:divBdr>
    </w:div>
    <w:div w:id="1664312377">
      <w:marLeft w:val="0"/>
      <w:marRight w:val="0"/>
      <w:marTop w:val="0"/>
      <w:marBottom w:val="0"/>
      <w:divBdr>
        <w:top w:val="none" w:sz="0" w:space="0" w:color="auto"/>
        <w:left w:val="none" w:sz="0" w:space="0" w:color="auto"/>
        <w:bottom w:val="none" w:sz="0" w:space="0" w:color="auto"/>
        <w:right w:val="none" w:sz="0" w:space="0" w:color="auto"/>
      </w:divBdr>
    </w:div>
    <w:div w:id="1664312378">
      <w:marLeft w:val="0"/>
      <w:marRight w:val="0"/>
      <w:marTop w:val="0"/>
      <w:marBottom w:val="0"/>
      <w:divBdr>
        <w:top w:val="none" w:sz="0" w:space="0" w:color="auto"/>
        <w:left w:val="none" w:sz="0" w:space="0" w:color="auto"/>
        <w:bottom w:val="none" w:sz="0" w:space="0" w:color="auto"/>
        <w:right w:val="none" w:sz="0" w:space="0" w:color="auto"/>
      </w:divBdr>
    </w:div>
    <w:div w:id="1664312379">
      <w:marLeft w:val="0"/>
      <w:marRight w:val="0"/>
      <w:marTop w:val="0"/>
      <w:marBottom w:val="0"/>
      <w:divBdr>
        <w:top w:val="none" w:sz="0" w:space="0" w:color="auto"/>
        <w:left w:val="none" w:sz="0" w:space="0" w:color="auto"/>
        <w:bottom w:val="none" w:sz="0" w:space="0" w:color="auto"/>
        <w:right w:val="none" w:sz="0" w:space="0" w:color="auto"/>
      </w:divBdr>
    </w:div>
    <w:div w:id="1664312380">
      <w:marLeft w:val="0"/>
      <w:marRight w:val="0"/>
      <w:marTop w:val="0"/>
      <w:marBottom w:val="0"/>
      <w:divBdr>
        <w:top w:val="none" w:sz="0" w:space="0" w:color="auto"/>
        <w:left w:val="none" w:sz="0" w:space="0" w:color="auto"/>
        <w:bottom w:val="none" w:sz="0" w:space="0" w:color="auto"/>
        <w:right w:val="none" w:sz="0" w:space="0" w:color="auto"/>
      </w:divBdr>
    </w:div>
    <w:div w:id="1664312382">
      <w:marLeft w:val="0"/>
      <w:marRight w:val="0"/>
      <w:marTop w:val="0"/>
      <w:marBottom w:val="0"/>
      <w:divBdr>
        <w:top w:val="none" w:sz="0" w:space="0" w:color="auto"/>
        <w:left w:val="none" w:sz="0" w:space="0" w:color="auto"/>
        <w:bottom w:val="none" w:sz="0" w:space="0" w:color="auto"/>
        <w:right w:val="none" w:sz="0" w:space="0" w:color="auto"/>
      </w:divBdr>
    </w:div>
    <w:div w:id="1664312383">
      <w:marLeft w:val="0"/>
      <w:marRight w:val="0"/>
      <w:marTop w:val="0"/>
      <w:marBottom w:val="0"/>
      <w:divBdr>
        <w:top w:val="none" w:sz="0" w:space="0" w:color="auto"/>
        <w:left w:val="none" w:sz="0" w:space="0" w:color="auto"/>
        <w:bottom w:val="none" w:sz="0" w:space="0" w:color="auto"/>
        <w:right w:val="none" w:sz="0" w:space="0" w:color="auto"/>
      </w:divBdr>
    </w:div>
    <w:div w:id="1664312384">
      <w:marLeft w:val="0"/>
      <w:marRight w:val="0"/>
      <w:marTop w:val="0"/>
      <w:marBottom w:val="0"/>
      <w:divBdr>
        <w:top w:val="none" w:sz="0" w:space="0" w:color="auto"/>
        <w:left w:val="none" w:sz="0" w:space="0" w:color="auto"/>
        <w:bottom w:val="none" w:sz="0" w:space="0" w:color="auto"/>
        <w:right w:val="none" w:sz="0" w:space="0" w:color="auto"/>
      </w:divBdr>
    </w:div>
    <w:div w:id="1664312385">
      <w:marLeft w:val="0"/>
      <w:marRight w:val="0"/>
      <w:marTop w:val="0"/>
      <w:marBottom w:val="0"/>
      <w:divBdr>
        <w:top w:val="none" w:sz="0" w:space="0" w:color="auto"/>
        <w:left w:val="none" w:sz="0" w:space="0" w:color="auto"/>
        <w:bottom w:val="none" w:sz="0" w:space="0" w:color="auto"/>
        <w:right w:val="none" w:sz="0" w:space="0" w:color="auto"/>
      </w:divBdr>
    </w:div>
    <w:div w:id="1664312386">
      <w:marLeft w:val="0"/>
      <w:marRight w:val="0"/>
      <w:marTop w:val="0"/>
      <w:marBottom w:val="0"/>
      <w:divBdr>
        <w:top w:val="none" w:sz="0" w:space="0" w:color="auto"/>
        <w:left w:val="none" w:sz="0" w:space="0" w:color="auto"/>
        <w:bottom w:val="none" w:sz="0" w:space="0" w:color="auto"/>
        <w:right w:val="none" w:sz="0" w:space="0" w:color="auto"/>
      </w:divBdr>
    </w:div>
    <w:div w:id="1664312387">
      <w:marLeft w:val="0"/>
      <w:marRight w:val="0"/>
      <w:marTop w:val="0"/>
      <w:marBottom w:val="0"/>
      <w:divBdr>
        <w:top w:val="none" w:sz="0" w:space="0" w:color="auto"/>
        <w:left w:val="none" w:sz="0" w:space="0" w:color="auto"/>
        <w:bottom w:val="none" w:sz="0" w:space="0" w:color="auto"/>
        <w:right w:val="none" w:sz="0" w:space="0" w:color="auto"/>
      </w:divBdr>
    </w:div>
    <w:div w:id="1664312388">
      <w:marLeft w:val="0"/>
      <w:marRight w:val="0"/>
      <w:marTop w:val="0"/>
      <w:marBottom w:val="0"/>
      <w:divBdr>
        <w:top w:val="none" w:sz="0" w:space="0" w:color="auto"/>
        <w:left w:val="none" w:sz="0" w:space="0" w:color="auto"/>
        <w:bottom w:val="none" w:sz="0" w:space="0" w:color="auto"/>
        <w:right w:val="none" w:sz="0" w:space="0" w:color="auto"/>
      </w:divBdr>
    </w:div>
    <w:div w:id="1664312389">
      <w:marLeft w:val="0"/>
      <w:marRight w:val="0"/>
      <w:marTop w:val="0"/>
      <w:marBottom w:val="0"/>
      <w:divBdr>
        <w:top w:val="none" w:sz="0" w:space="0" w:color="auto"/>
        <w:left w:val="none" w:sz="0" w:space="0" w:color="auto"/>
        <w:bottom w:val="none" w:sz="0" w:space="0" w:color="auto"/>
        <w:right w:val="none" w:sz="0" w:space="0" w:color="auto"/>
      </w:divBdr>
    </w:div>
    <w:div w:id="1664312390">
      <w:marLeft w:val="0"/>
      <w:marRight w:val="0"/>
      <w:marTop w:val="0"/>
      <w:marBottom w:val="0"/>
      <w:divBdr>
        <w:top w:val="none" w:sz="0" w:space="0" w:color="auto"/>
        <w:left w:val="none" w:sz="0" w:space="0" w:color="auto"/>
        <w:bottom w:val="none" w:sz="0" w:space="0" w:color="auto"/>
        <w:right w:val="none" w:sz="0" w:space="0" w:color="auto"/>
      </w:divBdr>
    </w:div>
    <w:div w:id="1664312391">
      <w:marLeft w:val="0"/>
      <w:marRight w:val="0"/>
      <w:marTop w:val="0"/>
      <w:marBottom w:val="0"/>
      <w:divBdr>
        <w:top w:val="none" w:sz="0" w:space="0" w:color="auto"/>
        <w:left w:val="none" w:sz="0" w:space="0" w:color="auto"/>
        <w:bottom w:val="none" w:sz="0" w:space="0" w:color="auto"/>
        <w:right w:val="none" w:sz="0" w:space="0" w:color="auto"/>
      </w:divBdr>
    </w:div>
    <w:div w:id="1664312393">
      <w:marLeft w:val="0"/>
      <w:marRight w:val="0"/>
      <w:marTop w:val="0"/>
      <w:marBottom w:val="0"/>
      <w:divBdr>
        <w:top w:val="none" w:sz="0" w:space="0" w:color="auto"/>
        <w:left w:val="none" w:sz="0" w:space="0" w:color="auto"/>
        <w:bottom w:val="none" w:sz="0" w:space="0" w:color="auto"/>
        <w:right w:val="none" w:sz="0" w:space="0" w:color="auto"/>
      </w:divBdr>
    </w:div>
    <w:div w:id="1664312394">
      <w:marLeft w:val="0"/>
      <w:marRight w:val="0"/>
      <w:marTop w:val="0"/>
      <w:marBottom w:val="0"/>
      <w:divBdr>
        <w:top w:val="none" w:sz="0" w:space="0" w:color="auto"/>
        <w:left w:val="none" w:sz="0" w:space="0" w:color="auto"/>
        <w:bottom w:val="none" w:sz="0" w:space="0" w:color="auto"/>
        <w:right w:val="none" w:sz="0" w:space="0" w:color="auto"/>
      </w:divBdr>
    </w:div>
    <w:div w:id="1664312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secina.com/dokumenta/javne-nabavke/%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2\FAD%20Templates\Dept%20T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4E17-5EA7-4354-972E-ADE97BCF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Dept TAD.dotm</Template>
  <TotalTime>2</TotalTime>
  <Pages>67</Pages>
  <Words>16335</Words>
  <Characters>99241</Characters>
  <Application>Microsoft Office Word</Application>
  <DocSecurity>0</DocSecurity>
  <Lines>827</Lines>
  <Paragraphs>230</Paragraphs>
  <ScaleCrop>false</ScaleCrop>
  <HeadingPairs>
    <vt:vector size="2" baseType="variant">
      <vt:variant>
        <vt:lpstr>Title</vt:lpstr>
      </vt:variant>
      <vt:variant>
        <vt:i4>1</vt:i4>
      </vt:variant>
    </vt:vector>
  </HeadingPairs>
  <TitlesOfParts>
    <vt:vector size="1" baseType="lpstr">
      <vt:lpstr>Izveštaj o rezultatima opština u Srbiji u upravljanju javnim finansijama</vt:lpstr>
    </vt:vector>
  </TitlesOfParts>
  <Company>IMF</Company>
  <LinksUpToDate>false</LinksUpToDate>
  <CharactersWithSpaces>115346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rezultatima opština u Srbiji u upravljanju javnim finansijama</dc:title>
  <dc:subject>Opština Osečina</dc:subject>
  <dc:creator>REPIM Ltd za SECO</dc:creator>
  <cp:keywords>STA MCM FAD</cp:keywords>
  <dc:description/>
  <cp:lastModifiedBy>Pajkovic Ana EDA PJN</cp:lastModifiedBy>
  <cp:revision>4</cp:revision>
  <cp:lastPrinted>2015-03-13T10:25:00Z</cp:lastPrinted>
  <dcterms:created xsi:type="dcterms:W3CDTF">2015-06-03T20:24:00Z</dcterms:created>
  <dcterms:modified xsi:type="dcterms:W3CDTF">2016-01-04T09:40:00Z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