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659FA" w14:textId="3593822F" w:rsidR="004E37B1" w:rsidRPr="008E18C4" w:rsidRDefault="00802A0E" w:rsidP="008E18C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20. став 1. тачка 8. Закона о локалној самоуправи („Службени гласник РС“, број </w:t>
      </w:r>
      <w:r w:rsidR="009865D4" w:rsidRPr="009865D4">
        <w:rPr>
          <w:rFonts w:ascii="Times New Roman" w:hAnsi="Times New Roman" w:cs="Times New Roman"/>
          <w:sz w:val="24"/>
          <w:szCs w:val="24"/>
          <w:lang w:val="sr-Cyrl-CS"/>
        </w:rPr>
        <w:t>129/2007, 83/2014 - др. закон, 101/2016 - др. закон,</w:t>
      </w:r>
      <w:r w:rsidR="009865D4">
        <w:rPr>
          <w:rFonts w:ascii="Times New Roman" w:hAnsi="Times New Roman" w:cs="Times New Roman"/>
          <w:sz w:val="24"/>
          <w:szCs w:val="24"/>
          <w:lang w:val="sr-Cyrl-CS"/>
        </w:rPr>
        <w:t xml:space="preserve"> 47/2018 и 111/2021 - др. закон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69. и 70. Закона о енергетској ефикасности и рационалној употреби енергије („Службени гласник РС“, број  40/21), члана 25. и члана 40. Закона о буџетском систему („Службени гласник РС“, број </w:t>
      </w:r>
      <w:r w:rsidR="009865D4" w:rsidRPr="009865D4">
        <w:rPr>
          <w:rFonts w:ascii="Times New Roman" w:hAnsi="Times New Roman" w:cs="Times New Roman"/>
          <w:sz w:val="24"/>
          <w:szCs w:val="24"/>
          <w:lang w:val="sr-Cyrl-CS"/>
        </w:rPr>
        <w:t>("Сл. гласник РС", бр. 54/2009, 73/2010, 101/2010, 101/2011, 93/2012, 62/2013, 63/2013 - испр., 108/2013, 142/2014, 68/2015 - др. закон, 103/2015, 99/2016, 113/2017, 95/2018, 31/2019, 72/2019, 149/2020 и 118/2021)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,  и </w:t>
      </w:r>
      <w:r w:rsidR="009865D4">
        <w:rPr>
          <w:rFonts w:ascii="Times New Roman" w:hAnsi="Times New Roman" w:cs="Times New Roman"/>
          <w:sz w:val="24"/>
          <w:szCs w:val="24"/>
          <w:lang w:val="sr-Cyrl-CS"/>
        </w:rPr>
        <w:t xml:space="preserve">члана 40.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865D4" w:rsidRPr="001F3D84">
        <w:rPr>
          <w:rFonts w:ascii="Times New Roman" w:hAnsi="Times New Roman" w:cs="Times New Roman"/>
          <w:sz w:val="24"/>
          <w:szCs w:val="24"/>
          <w:lang w:val="sr-Cyrl-RS"/>
        </w:rPr>
        <w:t>Статута општине Осечина</w:t>
      </w:r>
      <w:r w:rsidR="00986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65D4">
        <w:rPr>
          <w:rFonts w:ascii="Times New Roman" w:hAnsi="Times New Roman" w:cs="Times New Roman"/>
          <w:sz w:val="24"/>
          <w:szCs w:val="24"/>
        </w:rPr>
        <w:t>(</w:t>
      </w:r>
      <w:r w:rsidR="009865D4">
        <w:rPr>
          <w:rFonts w:ascii="Times New Roman" w:hAnsi="Times New Roman" w:cs="Times New Roman"/>
          <w:sz w:val="24"/>
          <w:szCs w:val="24"/>
          <w:lang w:val="sr-Cyrl-RS"/>
        </w:rPr>
        <w:t xml:space="preserve">„Општински сл.гласник“, </w:t>
      </w:r>
      <w:r w:rsidR="009865D4" w:rsidRPr="001F3D84">
        <w:rPr>
          <w:rFonts w:ascii="Times New Roman" w:hAnsi="Times New Roman" w:cs="Times New Roman"/>
          <w:sz w:val="24"/>
          <w:szCs w:val="24"/>
          <w:lang w:val="sr-Cyrl-RS"/>
        </w:rPr>
        <w:t xml:space="preserve">број  4/2019 </w:t>
      </w:r>
      <w:r w:rsidR="009865D4">
        <w:rPr>
          <w:rFonts w:ascii="Times New Roman" w:hAnsi="Times New Roman" w:cs="Times New Roman"/>
          <w:sz w:val="24"/>
          <w:szCs w:val="24"/>
        </w:rPr>
        <w:t>)</w:t>
      </w:r>
      <w:r w:rsidR="00986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D5C3B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 веће општине  Осечина, </w:t>
      </w:r>
      <w:r w:rsidR="009865D4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="00C552BA">
        <w:rPr>
          <w:rFonts w:ascii="Times New Roman" w:hAnsi="Times New Roman" w:cs="Times New Roman"/>
          <w:sz w:val="24"/>
          <w:szCs w:val="24"/>
          <w:lang w:val="sr-Cyrl-RS"/>
        </w:rPr>
        <w:t>15.04.2022., донело</w:t>
      </w:r>
      <w:r w:rsidR="009865D4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</w:p>
    <w:p w14:paraId="6146B398" w14:textId="77777777" w:rsidR="00802A0E" w:rsidRPr="000A0766" w:rsidRDefault="00802A0E" w:rsidP="00802A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D68C26" w14:textId="4A977D7C" w:rsidR="00FD3B9E" w:rsidRPr="007041B8" w:rsidRDefault="00802A0E" w:rsidP="00802A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ПРАВИЛНИК О СУФИНАНСИРАЊУ МЕРА ЕНЕРГЕТСКЕ САНАЦИЈЕ</w:t>
      </w:r>
      <w:r w:rsidR="00413A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ПОРОДИЧНИХ КУЋА И </w:t>
      </w: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СТАНОВА</w:t>
      </w:r>
      <w:r w:rsidRPr="007041B8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294C40"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КОЈЕ СЕ ОДНОСЕ НА УНАПРЕЂЕЊЕ ТЕРМИЧКОГ ОМОТАЧА, ТЕРМОТЕХНИЧКИХ ИНСТАЛАЦИЈА И УГРАДЊЕ СОЛАРНИХ КОЛЕКТОРА ЗА ЦЕНТРАЛНУ ПРИПРЕМУ ПОТРОШНЕ ТОПЛЕ ВОДЕ</w:t>
      </w:r>
      <w:r w:rsidR="00FD3B9E"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7064BE02" w14:textId="26A332A7" w:rsidR="00802A0E" w:rsidRPr="007041B8" w:rsidRDefault="00FD3B9E" w:rsidP="00802A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 ЈАВНОМ ПОЗИВУ</w:t>
      </w:r>
      <w:r w:rsid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УПРАВЕ</w:t>
      </w:r>
      <w:r w:rsidR="00394EDD" w:rsidRP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ПОДСТИЦАЊЕ И УНАПРЕЂЕЊЕ ЕНЕРГЕТСКЕ ЕФИКАСНОСТИ</w:t>
      </w:r>
      <w:r w:rsidR="00394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ЈП1/22</w:t>
      </w:r>
    </w:p>
    <w:p w14:paraId="63DA533A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B7C5B1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I ОПШТЕ ОДРЕДБЕ</w:t>
      </w:r>
    </w:p>
    <w:p w14:paraId="2A27E72D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F7F72AE" w14:textId="5D219690" w:rsidR="00802A0E" w:rsidRPr="000A0766" w:rsidRDefault="009865D4" w:rsidP="0098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175F6657" w14:textId="210AB53B" w:rsidR="00802A0E" w:rsidRPr="000A0766" w:rsidRDefault="00802A0E" w:rsidP="00802A0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Hlk66876970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Правилником о суфинансирању мера енергетске санације </w:t>
      </w:r>
      <w:r w:rsidR="00C656AD" w:rsidRPr="00F94B69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</w:t>
      </w:r>
      <w:r w:rsidR="00413AF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</w:t>
      </w:r>
      <w:r w:rsidR="00C656AD" w:rsidRPr="00F94B6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станова</w:t>
      </w:r>
      <w:r w:rsidR="00C656AD" w:rsidRPr="007041B8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(у даљем тексту Правилник) уређује се: циљ спровођења мера; мере које се суфинансирају и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ближи услови за расподелу и коришћење средстава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учесници у реализацији мера, начин њиховог учешћа и улоге; начин обезбеђивања финансијских средстава, проценат суфинансирања; начин и услови пријаве на јавни конкурс и критеријуми за селекцију привредних субјеката; начин и услови пријаве на јавни конкурс и критеријуми за селекцију грађана (домаћинстава); праћење реализације и извештавање.  </w:t>
      </w:r>
    </w:p>
    <w:bookmarkEnd w:id="0"/>
    <w:p w14:paraId="41E5C503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3930038" w14:textId="52B3F743" w:rsidR="00802A0E" w:rsidRPr="000A0766" w:rsidRDefault="009865D4" w:rsidP="0098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797C3A95" w14:textId="73AA43C1" w:rsidR="00802A0E" w:rsidRPr="009865D4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 спровођења мера енергетске санације </w:t>
      </w:r>
      <w:r w:rsidR="00413AF3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 и</w:t>
      </w:r>
      <w:r w:rsidR="00F94B69" w:rsidRPr="00F94B6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станова</w:t>
      </w:r>
      <w:r w:rsidR="00F94B69" w:rsidRPr="007041B8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865D4">
        <w:rPr>
          <w:rFonts w:ascii="Times New Roman" w:hAnsi="Times New Roman" w:cs="Times New Roman"/>
          <w:bCs/>
          <w:sz w:val="24"/>
          <w:szCs w:val="24"/>
          <w:lang w:val="sr-Cyrl-CS"/>
        </w:rPr>
        <w:t>је унапређење енергетске ефикасности у стамбеном сектору и повећано коришћење обновљивих извора енергије</w:t>
      </w:r>
      <w:r w:rsidR="00E002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домаћинствима на територији о</w:t>
      </w:r>
      <w:r w:rsidRPr="009865D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пштине </w:t>
      </w:r>
      <w:r w:rsidR="009865D4">
        <w:rPr>
          <w:rFonts w:ascii="Times New Roman" w:hAnsi="Times New Roman" w:cs="Times New Roman"/>
          <w:bCs/>
          <w:sz w:val="24"/>
          <w:szCs w:val="24"/>
          <w:lang w:val="sr-Cyrl-CS"/>
        </w:rPr>
        <w:t>Осечина.</w:t>
      </w:r>
    </w:p>
    <w:p w14:paraId="2DE068F5" w14:textId="387EEBE4" w:rsidR="00802A0E" w:rsidRPr="000A0766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Мере енергетске санације предвиђене овим Правилником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 бесповратних средстава су домаћинства на територији </w:t>
      </w:r>
      <w:r w:rsidR="00E0028F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9865D4">
        <w:rPr>
          <w:rFonts w:ascii="Times New Roman" w:hAnsi="Times New Roman" w:cs="Times New Roman"/>
          <w:bCs/>
          <w:sz w:val="24"/>
          <w:szCs w:val="24"/>
          <w:lang w:val="sr-Cyrl-CS"/>
        </w:rPr>
        <w:t>пштине Осечина.</w:t>
      </w:r>
    </w:p>
    <w:p w14:paraId="1527382D" w14:textId="77777777" w:rsidR="00802A0E" w:rsidRPr="000A0766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F8C6E24" w14:textId="6C99E841" w:rsidR="00802A0E" w:rsidRDefault="009865D4" w:rsidP="0098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Финансијска средства</w:t>
      </w:r>
    </w:p>
    <w:p w14:paraId="168298E6" w14:textId="77777777" w:rsidR="008E18C4" w:rsidRPr="000A0766" w:rsidRDefault="008E18C4" w:rsidP="00986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43F229" w14:textId="676FEC90" w:rsidR="00802A0E" w:rsidRPr="000A0766" w:rsidRDefault="009865D4" w:rsidP="009865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14:paraId="44ADE1C4" w14:textId="2CAB64BD" w:rsidR="00802A0E" w:rsidRPr="000A0766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Средстава за суфинансирање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>Програма енергетске санације породичних кућа и станова, на основу Јавног позива, ЈП 1/22</w:t>
      </w:r>
      <w:r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опредељују се Одлуком о буџету </w:t>
      </w:r>
      <w:r w:rsidR="00E0028F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9865D4">
        <w:rPr>
          <w:rFonts w:ascii="Times New Roman" w:hAnsi="Times New Roman" w:cs="Times New Roman"/>
          <w:bCs/>
          <w:sz w:val="24"/>
          <w:szCs w:val="24"/>
          <w:lang w:val="sr-Cyrl-CS"/>
        </w:rPr>
        <w:t>пштине Осечина.</w:t>
      </w:r>
    </w:p>
    <w:p w14:paraId="26E905F1" w14:textId="77777777" w:rsidR="00413AF3" w:rsidRPr="000A0766" w:rsidRDefault="00413AF3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66988968"/>
    </w:p>
    <w:p w14:paraId="7BA08469" w14:textId="425AFDA0" w:rsidR="00802A0E" w:rsidRPr="000A0766" w:rsidRDefault="00802A0E" w:rsidP="00B44E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4.</w:t>
      </w:r>
    </w:p>
    <w:bookmarkEnd w:id="1"/>
    <w:p w14:paraId="5804B6DD" w14:textId="0EDCB108" w:rsidR="00802A0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за суфинансирање мера из члана 6. овог Правилника додељују се на основу јавног позива за </w:t>
      </w:r>
      <w:r w:rsidRPr="00B44E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домаћинства у највишем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износу  до 50% од вредности укупне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инвестиције са ПДВ-ом по појединачној пријави при чему </w:t>
      </w:r>
      <w:r w:rsidR="00FB186A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максимални износ одобрених средстава по појединачној пријави дефинисан у члану 6. </w:t>
      </w:r>
    </w:p>
    <w:p w14:paraId="156B7741" w14:textId="77777777" w:rsidR="00B44EE4" w:rsidRDefault="00B44EE4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10F73FC" w14:textId="56CAB9BA" w:rsidR="00802A0E" w:rsidRPr="000A0766" w:rsidRDefault="00B44EE4" w:rsidP="00B44EE4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14:paraId="38E14AC3" w14:textId="7147F9BA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>Одлу</w:t>
      </w:r>
      <w:r w:rsidR="00B44E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ку о додели средстава грађанима </w:t>
      </w: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доноси Општинско веће општине </w:t>
      </w:r>
      <w:r w:rsidR="00B44EE4">
        <w:rPr>
          <w:rFonts w:ascii="Times New Roman" w:eastAsia="Calibri" w:hAnsi="Times New Roman" w:cs="Times New Roman"/>
          <w:sz w:val="24"/>
          <w:szCs w:val="24"/>
          <w:lang w:val="sr-Cyrl-CS"/>
        </w:rPr>
        <w:t>Осечина</w:t>
      </w: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предлог Комисије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35FDE7DE" w14:textId="77777777"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02A76431" w14:textId="5446FC63" w:rsidR="00802A0E" w:rsidRPr="000A0766" w:rsidRDefault="00B44EE4" w:rsidP="00B44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14:paraId="6ABB6053" w14:textId="73F677B2" w:rsidR="00802A0E" w:rsidRPr="00F94B69" w:rsidRDefault="007F7EE3" w:rsidP="007041B8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>Укупно</w:t>
      </w:r>
      <w:r w:rsidR="00B44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планирана средства које </w:t>
      </w:r>
      <w:r w:rsidR="000C0811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општина заједно са средствима </w:t>
      </w:r>
      <w:r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>Управе за подстицање и унапређење енергетске ефикасности</w:t>
      </w:r>
      <w:r w:rsidR="000C0811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додељује</w:t>
      </w:r>
      <w:r w:rsidR="00701F6C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путем Јавног позива </w:t>
      </w:r>
      <w:r w:rsidR="000C0811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="00FB186A" w:rsidRPr="00D51E5B">
        <w:t xml:space="preserve">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суфинансирање Програма енергетске санације породичних кућа и станова, на основу Јавног позива, ЈП 1/22, </w:t>
      </w:r>
      <w:r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>износе</w:t>
      </w:r>
      <w:r w:rsidR="00701F6C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44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4.000.000,00 </w:t>
      </w:r>
      <w:r w:rsidR="000C0811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динара, 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>од чега је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2.000.000,00 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динара определила општина 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>Осечина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  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>2.000.000,00</w:t>
      </w:r>
      <w:r w:rsidR="00802A0E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динара Управа за подстицање и унапређење енергетске ефикасности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за суфинансирање мера из овог члана </w:t>
      </w:r>
      <w:r w:rsidR="00D77AD6">
        <w:rPr>
          <w:rFonts w:ascii="Times New Roman" w:hAnsi="Times New Roman" w:cs="Times New Roman"/>
          <w:bCs/>
          <w:sz w:val="24"/>
          <w:szCs w:val="24"/>
          <w:lang w:val="sr-Cyrl-RS"/>
        </w:rPr>
        <w:t>3.740</w:t>
      </w:r>
      <w:r w:rsidR="00B44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.000,00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динара,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 чега је </w:t>
      </w:r>
      <w:r w:rsidR="00D77AD6">
        <w:rPr>
          <w:rFonts w:ascii="Times New Roman" w:hAnsi="Times New Roman" w:cs="Times New Roman"/>
          <w:bCs/>
          <w:sz w:val="24"/>
          <w:szCs w:val="24"/>
          <w:lang w:val="sr-Cyrl-CS"/>
        </w:rPr>
        <w:t>1.870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.000,00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динара определила општина 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>Осечина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77AD6">
        <w:rPr>
          <w:rFonts w:ascii="Times New Roman" w:hAnsi="Times New Roman" w:cs="Times New Roman"/>
          <w:bCs/>
          <w:sz w:val="24"/>
          <w:szCs w:val="24"/>
          <w:lang w:val="sr-Cyrl-CS"/>
        </w:rPr>
        <w:t>а 1.870</w:t>
      </w:r>
      <w:r w:rsidR="00B44EE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.000,00 </w:t>
      </w:r>
      <w:r w:rsidR="00FB186A" w:rsidRPr="00D51E5B">
        <w:rPr>
          <w:rFonts w:ascii="Times New Roman" w:hAnsi="Times New Roman" w:cs="Times New Roman"/>
          <w:bCs/>
          <w:sz w:val="24"/>
          <w:szCs w:val="24"/>
          <w:lang w:val="sr-Cyrl-CS"/>
        </w:rPr>
        <w:t>динара Управа за подстицање и унапређење енергетске ефикасности.</w:t>
      </w:r>
    </w:p>
    <w:p w14:paraId="4E8F2399" w14:textId="77777777" w:rsidR="00887B2D" w:rsidRPr="000A0766" w:rsidRDefault="00887B2D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316B36A8" w14:textId="6922E638" w:rsidR="00802A0E" w:rsidRPr="000A0766" w:rsidRDefault="005F0E7C" w:rsidP="00B44E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Спроводиће </w:t>
      </w:r>
      <w:r w:rsidR="00802A0E"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следеће мере енергетске ефикасности:</w:t>
      </w:r>
    </w:p>
    <w:p w14:paraId="4B6B8ADD" w14:textId="586DA9D0" w:rsidR="000C0E81" w:rsidRPr="000A0766" w:rsidRDefault="000C0E81" w:rsidP="000C0E81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282D86BE" w14:textId="5696F0AE" w:rsidR="002861EC" w:rsidRPr="000A0766" w:rsidRDefault="000A0766" w:rsidP="007041B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1)</w:t>
      </w:r>
      <w:r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C0E81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заменa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  <w:r w:rsidR="002861EC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E5167" w:rsidRPr="007041B8">
        <w:rPr>
          <w:rStyle w:val="markedcontent"/>
          <w:rFonts w:ascii="Times New Roman" w:hAnsi="Times New Roman" w:cs="Times New Roman"/>
          <w:b/>
          <w:u w:val="single"/>
          <w:lang w:val="sr-Cyrl-CS"/>
        </w:rPr>
        <w:t>са одговарајућим термичким својствима према негрејаним просторијама,</w:t>
      </w:r>
      <w:r w:rsidR="00B44EE4">
        <w:rPr>
          <w:rStyle w:val="markedcontent"/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2861EC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за </w:t>
      </w:r>
      <w:r w:rsidR="002861EC"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породичне куће и станове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. </w:t>
      </w:r>
    </w:p>
    <w:p w14:paraId="763F6C56" w14:textId="179E1F90" w:rsidR="00802A0E" w:rsidRPr="000A0766" w:rsidRDefault="00802A0E" w:rsidP="002861EC">
      <w:pPr>
        <w:autoSpaceDE w:val="0"/>
        <w:autoSpaceDN w:val="0"/>
        <w:adjustRightInd w:val="0"/>
        <w:spacing w:after="0" w:line="240" w:lineRule="auto"/>
        <w:ind w:left="114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 </w:t>
      </w:r>
    </w:p>
    <w:p w14:paraId="7A2C048B" w14:textId="5851F5D9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максимално 50% од вредности укупне инвестиције са ПДВ-ом по поје</w:t>
      </w:r>
      <w:r w:rsidR="00016E5F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диначној пријави</w:t>
      </w:r>
      <w:r w:rsidR="005B773B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 w:rsidR="00016E5F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максимално</w:t>
      </w:r>
      <w:r w:rsidR="006622C1"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140.000,00 динара са ПДВ-ом</w:t>
      </w:r>
      <w:r w:rsidR="007C46C0" w:rsidRPr="000A0766"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5B5175EC" w14:textId="77777777" w:rsidR="007C46C0" w:rsidRPr="007041B8" w:rsidRDefault="007C46C0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</w:p>
    <w:p w14:paraId="0E701A4D" w14:textId="4F197E17" w:rsidR="00802A0E" w:rsidRPr="000A0766" w:rsidRDefault="006D27AA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2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) постављањ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е и набавка материјала за 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термичк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изолациј</w:t>
      </w:r>
      <w:r w:rsidR="002E5167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зидова, таваница изнад отворених пролаза,</w:t>
      </w:r>
      <w:r w:rsidR="00802A0E" w:rsidRPr="000A07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 за</w:t>
      </w:r>
      <w:r w:rsidR="00802A0E" w:rsidRPr="000A076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породичне куће.</w:t>
      </w:r>
    </w:p>
    <w:p w14:paraId="71059BC4" w14:textId="0B953775" w:rsidR="00294C40" w:rsidRPr="00F94B69" w:rsidRDefault="00E72692" w:rsidP="007041B8">
      <w:pPr>
        <w:pStyle w:val="ListParagraph"/>
        <w:tabs>
          <w:tab w:val="left" w:pos="360"/>
        </w:tabs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="00F94B69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редст</w:t>
      </w:r>
      <w:r w:rsidR="00F94B69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F94B69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ва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подстицаја </w:t>
      </w:r>
      <w:r w:rsidR="007F7EE3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кој</w:t>
      </w:r>
      <w:r w:rsidR="00F94B69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7F7EE3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доде</w:t>
      </w:r>
      <w:r w:rsidR="007F7EE3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љуј</w:t>
      </w:r>
      <w:r w:rsidR="00F94B69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ову меру, представља мањи износ од</w:t>
      </w:r>
      <w:r w:rsidR="00294C40"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44F2AD3A" w14:textId="56C6DE93" w:rsidR="006D27AA" w:rsidRDefault="00FD3B9E" w:rsidP="006D27AA">
      <w:pPr>
        <w:pStyle w:val="ListParagraph"/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50% од 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вредности укупне инвестиције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 ом,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максимално 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210.000</w:t>
      </w:r>
      <w:r w:rsid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</w:t>
      </w:r>
      <w:r w:rsidRPr="006D27AA" w:rsidDel="00FD3B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4C40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, и</w:t>
      </w:r>
      <w:r w:rsidR="00F94B69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B8F4DAA" w14:textId="72C3A611" w:rsidR="00802A0E" w:rsidRPr="006D27AA" w:rsidRDefault="00294C40" w:rsidP="006D27AA">
      <w:pPr>
        <w:pStyle w:val="ListParagraph"/>
        <w:numPr>
          <w:ilvl w:val="0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износа  кој</w:t>
      </w:r>
      <w:r w:rsidR="00FD3B9E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добија множењем </w:t>
      </w:r>
      <w:r w:rsidR="004958C6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површине 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из достављене профактуре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 </w:t>
      </w:r>
      <w:r w:rsidR="00FD3B9E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FD3B9E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9F5423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D3B9E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000</w:t>
      </w:r>
      <w:r w:rsid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FD3B9E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</w:t>
      </w:r>
      <w:r w:rsidR="009978E8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ПДВ-ом</w:t>
      </w:r>
      <w:r w:rsidR="009F5423" w:rsidRP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AEE099F" w14:textId="77777777" w:rsidR="009F5423" w:rsidRPr="009F5423" w:rsidRDefault="009F5423" w:rsidP="009F542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Latn-CS"/>
        </w:rPr>
      </w:pPr>
    </w:p>
    <w:p w14:paraId="219AAFC9" w14:textId="233F137F" w:rsidR="002861EC" w:rsidRPr="000A0766" w:rsidRDefault="006D27AA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3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802A0E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постављањ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е и набавка материјала за </w:t>
      </w:r>
      <w:r w:rsidR="00802A0E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термичк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="00802A0E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изолациј</w:t>
      </w:r>
      <w:r w:rsidR="002E5167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у</w:t>
      </w:r>
      <w:r w:rsidR="00802A0E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испод кровног покривача</w:t>
      </w:r>
      <w:r w:rsidR="002861EC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="002861EC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породичне куће</w:t>
      </w:r>
      <w:r w:rsidR="003958F9" w:rsidRPr="00F94B69">
        <w:t xml:space="preserve"> </w:t>
      </w:r>
      <w:r w:rsidR="003958F9" w:rsidRPr="00F94B69">
        <w:rPr>
          <w:lang w:val="sr-Cyrl-CS"/>
        </w:rPr>
        <w:t>(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ову меру се може конкурисати и заједно са мером постављање и набавка материјала за  термичку изолацију зидова, таваница изнад отворених пролаза,</w:t>
      </w:r>
      <w:r w:rsidR="003958F9" w:rsidRPr="00F94B6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 за</w:t>
      </w:r>
      <w:r w:rsidR="003958F9" w:rsidRPr="00F94B6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породичне куће из става 2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 тачка 2</w:t>
      </w:r>
      <w:r w:rsidR="003958F9" w:rsidRP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), овог члана)</w:t>
      </w:r>
      <w:r w:rsidR="00F94B6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</w:p>
    <w:p w14:paraId="66D8B9B8" w14:textId="1A9A7D6D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lastRenderedPageBreak/>
        <w:t>Ова мера може</w:t>
      </w:r>
      <w:r w:rsidR="002861EC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</w:t>
      </w:r>
      <w:r w:rsidR="006D27A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нструктивних елемената крова.</w:t>
      </w:r>
    </w:p>
    <w:p w14:paraId="5C06F5F3" w14:textId="2F341DFB" w:rsidR="00FA7911" w:rsidRPr="000A0766" w:rsidRDefault="00F94B69" w:rsidP="00FA7911">
      <w:pPr>
        <w:pStyle w:val="ListParagraph"/>
        <w:tabs>
          <w:tab w:val="left" w:pos="360"/>
        </w:tabs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редстава подстицаја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која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доде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љују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ову меру, представља мањи износ од</w:t>
      </w:r>
      <w:r w:rsidR="00FA7911" w:rsidRPr="000A0766"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>:</w:t>
      </w:r>
    </w:p>
    <w:p w14:paraId="12165FF2" w14:textId="603BC6B9" w:rsidR="00FA7911" w:rsidRPr="00F94B69" w:rsidRDefault="00FA7911" w:rsidP="006D27AA">
      <w:pPr>
        <w:pStyle w:val="ListParagraph"/>
        <w:numPr>
          <w:ilvl w:val="0"/>
          <w:numId w:val="38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50% од вредности укупне инвестиције са ПДВ ом, а максимално</w:t>
      </w:r>
      <w:r w:rsidR="00F94B69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150.000,00 динара са ПДВ-ом, и;</w:t>
      </w:r>
    </w:p>
    <w:p w14:paraId="7F6B7345" w14:textId="265585BF" w:rsidR="00FA7911" w:rsidRPr="00F94B69" w:rsidRDefault="00FA7911" w:rsidP="006D27AA">
      <w:pPr>
        <w:pStyle w:val="ListParagraph"/>
        <w:numPr>
          <w:ilvl w:val="0"/>
          <w:numId w:val="38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 који се добија множењем површине из достављене профактуре, са  износом од 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>500</w:t>
      </w:r>
      <w:r w:rsidR="006D27AA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9F5423"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 са ПДВ-ом</w:t>
      </w:r>
      <w:r w:rsidRPr="00F94B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5723B0FF" w14:textId="77777777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DD1AAA" w14:textId="0B9285A2" w:rsidR="00802A0E" w:rsidRPr="000A0766" w:rsidRDefault="006D27AA" w:rsidP="000C0E8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4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9C4DA4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набавка и </w:t>
      </w:r>
      <w:r w:rsidR="009C6702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инсталација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A7373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котлова на</w:t>
      </w:r>
      <w:r w:rsidR="009C6702" w:rsidRPr="00F52EF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биомасу (дрвни пелет, брикет, сечка), грејачa простора, или замена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постојећег грејача простора (котао или пећ) ефикаснијим</w:t>
      </w:r>
      <w:r w:rsidR="009C6702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за породичне куће и станове</w:t>
      </w:r>
      <w:r w:rsid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14:paraId="0754CA19" w14:textId="77777777" w:rsidR="00802A0E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максимално:</w:t>
      </w:r>
    </w:p>
    <w:p w14:paraId="6FED7871" w14:textId="7B29193B" w:rsidR="00802A0E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- 110.000,00 динара са ПДВ-ом за котлове на биомасу (пелет и сечка).</w:t>
      </w:r>
    </w:p>
    <w:p w14:paraId="655E27E4" w14:textId="77777777" w:rsidR="007C46C0" w:rsidRPr="006D27AA" w:rsidRDefault="007C46C0" w:rsidP="006D27A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06E8EE0A" w14:textId="1A017BCF" w:rsidR="00802A0E" w:rsidRPr="007041B8" w:rsidRDefault="006D27AA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5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4A2065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замена</w:t>
      </w:r>
      <w:r w:rsidR="006D76A1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постојеће или уградња нове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цевне мреже, грејних тела-радијатора</w:t>
      </w:r>
      <w:r w:rsidR="000C0E81" w:rsidRPr="00F52EF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и пратећег прибора за породичне куће</w:t>
      </w:r>
      <w:r w:rsidR="004A2065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и станове</w:t>
      </w:r>
      <w:r w:rsidR="00983F94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8C735C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ову меру се може конкурисати само заједно са мером замене постојећег грејача простора (котао или пећ)</w:t>
      </w: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ефикаснијим из става 2. тачка 4</w:t>
      </w:r>
      <w:r w:rsidR="008C735C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), овог члана</w:t>
      </w:r>
      <w:r w:rsidR="00983F94" w:rsidRPr="007041B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)</w:t>
      </w:r>
      <w:r w:rsid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100AD75" w14:textId="68C2481A" w:rsidR="00802A0E" w:rsidRPr="007041B8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 120.000,00 динара са ПДВ-ом</w:t>
      </w:r>
      <w:r w:rsidR="00F52EFA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9537138" w14:textId="21FC60D2" w:rsidR="00CC310E" w:rsidRPr="006D27AA" w:rsidRDefault="00CC310E" w:rsidP="006D27AA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14:paraId="42B170D1" w14:textId="47B18533" w:rsidR="00802A0E" w:rsidRPr="000A0766" w:rsidRDefault="006D27AA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6</w:t>
      </w:r>
      <w:r w:rsidR="00802A0E" w:rsidRPr="000A0766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набавка и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уградње топлотних пумпи </w:t>
      </w:r>
      <w:r w:rsidR="00853970" w:rsidRPr="00F52EF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и </w:t>
      </w:r>
      <w:r w:rsidR="00853970" w:rsidRPr="00F52EFA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пратеће инсталације грејног система</w:t>
      </w:r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802A0E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(грејач простора или комбиновани грејач) за породичне куће</w:t>
      </w:r>
      <w:r w:rsid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14:paraId="5B08A052" w14:textId="77777777" w:rsidR="007C46C0" w:rsidRPr="000A0766" w:rsidRDefault="00802A0E" w:rsidP="00802A0E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 250.000,00 динара са ПДВ-ом</w:t>
      </w:r>
    </w:p>
    <w:p w14:paraId="5DF6E137" w14:textId="4342DD54" w:rsidR="00802A0E" w:rsidRPr="007041B8" w:rsidRDefault="00802A0E" w:rsidP="007041B8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br/>
      </w:r>
      <w:r w:rsidR="006D27A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7</w:t>
      </w:r>
      <w:r w:rsidRPr="007041B8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) </w:t>
      </w:r>
      <w:r w:rsidR="009A3E25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набавка и у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градње соларних колектора у инсталацију за централну припрему потрошне топле воде </w:t>
      </w:r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за грејање санитарне потрошне топле воде и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пратеће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инсталације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грејног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система</w:t>
      </w:r>
      <w:proofErr w:type="spellEnd"/>
      <w:r w:rsidR="00853970"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за породичне куће</w:t>
      </w:r>
      <w:r w:rsidR="00F52EFA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14:paraId="0ED2B41C" w14:textId="6FAE659C" w:rsidR="00647B4F" w:rsidRPr="00F52EFA" w:rsidRDefault="00F52EFA" w:rsidP="007041B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Style w:val="markedcontent"/>
        </w:rPr>
      </w:pPr>
      <w:r w:rsidRPr="00F94B69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Укупан износ с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редстава подстицаја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која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доде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љују</w:t>
      </w:r>
      <w:r w:rsidRPr="00F94B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ову меру, представља мањи износ од:</w:t>
      </w:r>
      <w:r w:rsidR="00647B4F" w:rsidRPr="00F52EFA">
        <w:rPr>
          <w:rStyle w:val="markedcontent"/>
        </w:rPr>
        <w:t>:</w:t>
      </w:r>
    </w:p>
    <w:p w14:paraId="56A347F3" w14:textId="24C28290" w:rsidR="00FA7911" w:rsidRPr="00F52EFA" w:rsidRDefault="00FA7911" w:rsidP="009271E3">
      <w:pPr>
        <w:pStyle w:val="ListParagraph"/>
        <w:numPr>
          <w:ilvl w:val="0"/>
          <w:numId w:val="39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50% од вредности укупне инвестиције са ПДВ ом, а максимално  140.000,00 динара са ПДВ-ом, и</w:t>
      </w:r>
      <w:r w:rsid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6EDCAB05" w14:textId="55178443" w:rsidR="00647B4F" w:rsidRPr="00F52EFA" w:rsidRDefault="00FA7911" w:rsidP="009271E3">
      <w:pPr>
        <w:pStyle w:val="ListParagraph"/>
        <w:numPr>
          <w:ilvl w:val="0"/>
          <w:numId w:val="39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 који се добија множењем количине топле воде из достављене профактуре, са  износом од </w:t>
      </w:r>
      <w:r w:rsidR="009F5423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650</w:t>
      </w:r>
      <w:r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динара </w:t>
      </w:r>
      <w:r w:rsidR="004958C6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</w:t>
      </w:r>
      <w:r w:rsidR="00647B4F" w:rsidRPr="00F52E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508A011A" w14:textId="77777777" w:rsidR="00157AE0" w:rsidRDefault="000C0811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  <w:tab/>
      </w:r>
      <w:r w:rsidR="00AF3C37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14:paraId="4C67F9A1" w14:textId="448F0467" w:rsidR="00157AE0" w:rsidRDefault="00157AE0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 из овог члана,</w:t>
      </w:r>
      <w:r w:rsidR="009271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осим за мере из става 2. тач. 3</w:t>
      </w:r>
      <w:r w:rsidR="004D6CB8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71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5</w:t>
      </w:r>
      <w:r w:rsidR="004D6CB8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овог члана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>.</w:t>
      </w:r>
    </w:p>
    <w:p w14:paraId="4F09EF4B" w14:textId="7B94A143" w:rsidR="00802A0E" w:rsidRPr="000A0766" w:rsidRDefault="00157AE0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Критеријуми енергетске ефикасности се одређују јавним позивом за привредне субјекте, али морају да задовоље следеће минималне услове: </w:t>
      </w:r>
    </w:p>
    <w:p w14:paraId="4B2DF1CD" w14:textId="77777777" w:rsidR="00802A0E" w:rsidRPr="000A0766" w:rsidRDefault="00802A0E" w:rsidP="00802A0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Спољна столарија са следећим минималним техничким карактеристикама (U-коефицијент прелаза топлоте):</w:t>
      </w:r>
    </w:p>
    <w:p w14:paraId="3CA23258" w14:textId="77777777" w:rsidR="00802A0E" w:rsidRPr="000A0766" w:rsidRDefault="00802A0E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U≤ 1,5 W/метру квадратном K за прозоре и балконска врата</w:t>
      </w:r>
    </w:p>
    <w:p w14:paraId="357230E3" w14:textId="77777777" w:rsidR="00802A0E" w:rsidRPr="000A0766" w:rsidRDefault="00802A0E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U ≤ 1,6 W/метру квадратном K за спољна врата</w:t>
      </w:r>
    </w:p>
    <w:p w14:paraId="0275EBAB" w14:textId="3DA8C32D" w:rsidR="00802A0E" w:rsidRPr="000A0766" w:rsidRDefault="00802A0E" w:rsidP="00802A0E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Спољни зид на породичним кућама</w:t>
      </w:r>
      <w:r w:rsidRPr="00F52EFA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следећих карактеристика:</w:t>
      </w:r>
    </w:p>
    <w:p w14:paraId="14FE2810" w14:textId="6C2E5466" w:rsidR="00BB0EFA" w:rsidRDefault="00802A0E" w:rsidP="00927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- минимална дебљина за термичку изолацију износи 10 cm, осим уколико нема  техничких могућности да се постави та дебљина изолације. Боја спољашњег омотача/фасаде треба да буде усклађена са традиционалном локалном архитектуром, избегавајући тренд јарких и рефлектујућих неадекватних колорита</w:t>
      </w:r>
    </w:p>
    <w:p w14:paraId="3BFE5035" w14:textId="4868CC48" w:rsidR="00BB0EFA" w:rsidRPr="007041B8" w:rsidRDefault="00802A0E" w:rsidP="007041B8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Минимални степен корисности котла (грејача простора) на  биомасу (дрвни пелет, брикет, сечка) износи 85%;</w:t>
      </w:r>
    </w:p>
    <w:p w14:paraId="158FE539" w14:textId="122CDFEF" w:rsidR="00CF534A" w:rsidRPr="000A0766" w:rsidRDefault="00802A0E" w:rsidP="0046601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Минимални степен корисности котла (грејача простора) на  природни гас износи 90%;</w:t>
      </w:r>
    </w:p>
    <w:p w14:paraId="567EE0BE" w14:textId="31CA2FA3" w:rsidR="00802A0E" w:rsidRPr="000A0766" w:rsidRDefault="00802A0E" w:rsidP="0046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Додатни услови за доделу средстава по</w:t>
      </w:r>
      <w:r w:rsidR="0046601E">
        <w:rPr>
          <w:rFonts w:ascii="Times New Roman" w:hAnsi="Times New Roman" w:cs="Times New Roman"/>
          <w:sz w:val="24"/>
          <w:szCs w:val="24"/>
          <w:lang w:val="sr-Cyrl-CS"/>
        </w:rPr>
        <w:t xml:space="preserve">дстицаја за енергетску санацију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стамбених објекта:</w:t>
      </w:r>
    </w:p>
    <w:p w14:paraId="5C80C49E" w14:textId="5D4DB632" w:rsidR="00802A0E" w:rsidRPr="000A0766" w:rsidRDefault="007F7EE3" w:rsidP="00AF3C37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За мере из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став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2. 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тач </w:t>
      </w:r>
      <w:r w:rsidR="0046601E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) овог члана  с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уз писмену сагласност осталих власника. Сутерени чији је фасадни зид обложен каменом или сличним материјалом не морају се термички изоловати.</w:t>
      </w:r>
    </w:p>
    <w:p w14:paraId="5303DB4E" w14:textId="77777777" w:rsidR="00802A0E" w:rsidRPr="000A0766" w:rsidRDefault="00802A0E" w:rsidP="00AF3C37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Двојни објекти различитих власника као и објекти у низу третирају се као засебни објекти.</w:t>
      </w:r>
    </w:p>
    <w:p w14:paraId="78D79703" w14:textId="65834C43" w:rsidR="00BB0EFA" w:rsidRPr="007041B8" w:rsidRDefault="0046601E" w:rsidP="008A3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мере из става 2. тач 1) </w:t>
      </w:r>
      <w:r w:rsidR="007F7EE3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овог члана</w:t>
      </w:r>
      <w:r w:rsidR="00802A0E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F7EE3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с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одобравати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уградњу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прозора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3C8E" w:rsidRPr="00F52EFA"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 w:rsidR="008A3C8E" w:rsidRPr="00F52EFA">
        <w:rPr>
          <w:rFonts w:ascii="Times New Roman" w:hAnsi="Times New Roman" w:cs="Times New Roman"/>
          <w:sz w:val="24"/>
          <w:szCs w:val="24"/>
        </w:rPr>
        <w:t xml:space="preserve">. </w:t>
      </w:r>
      <w:r w:rsidR="008A3C8E" w:rsidRPr="00F52EFA">
        <w:rPr>
          <w:rFonts w:ascii="Times New Roman" w:hAnsi="Times New Roman" w:cs="Times New Roman"/>
          <w:sz w:val="24"/>
          <w:szCs w:val="24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="008A3C8E" w:rsidRPr="007041B8">
        <w:rPr>
          <w:rFonts w:ascii="Times New Roman" w:hAnsi="Times New Roman" w:cs="Times New Roman"/>
          <w:sz w:val="24"/>
          <w:szCs w:val="24"/>
        </w:rPr>
        <w:t>.</w:t>
      </w:r>
    </w:p>
    <w:p w14:paraId="7C28CBC5" w14:textId="77777777" w:rsidR="008A3C8E" w:rsidRPr="007041B8" w:rsidRDefault="008A3C8E" w:rsidP="00BB0E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За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441E466B" w14:textId="03CCD74A" w:rsidR="008A3C8E" w:rsidRPr="00BB0EFA" w:rsidRDefault="008A3C8E" w:rsidP="00BB0E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Власници појединачних етажа у стамбеном објекту подносе појединачне пријаве за замену столарије</w:t>
      </w:r>
      <w:r w:rsidR="00BB0EFA" w:rsidRPr="007041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9BDC86E" w14:textId="77777777" w:rsidR="00802A0E" w:rsidRPr="000A0766" w:rsidRDefault="00AF3C37" w:rsidP="00802A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за оцењивање пријава на Јавни позив за домаћинства и стамбе</w:t>
      </w:r>
      <w:r w:rsidR="007A44F1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не за</w:t>
      </w:r>
      <w:r w:rsidR="005B773B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једн</w:t>
      </w:r>
      <w:r w:rsidR="00723251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ице  дати су у члану 26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Правилника. </w:t>
      </w:r>
    </w:p>
    <w:p w14:paraId="40BEF46F" w14:textId="77777777" w:rsidR="00802A0E" w:rsidRPr="000A0766" w:rsidRDefault="00802A0E" w:rsidP="00802A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8B4234F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Прихватљиви трошкови</w:t>
      </w:r>
    </w:p>
    <w:p w14:paraId="31BB7780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FE42F41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7.</w:t>
      </w:r>
    </w:p>
    <w:p w14:paraId="6FF5D4EF" w14:textId="77777777" w:rsidR="00802A0E" w:rsidRPr="000A0766" w:rsidRDefault="00802A0E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Прихватљиви инвестициони трошкови су трошкови са урачунатим ПДВ-ом.</w:t>
      </w:r>
    </w:p>
    <w:p w14:paraId="44F6CCA2" w14:textId="77777777" w:rsidR="002C6A6A" w:rsidRPr="000A0766" w:rsidRDefault="002C6A6A" w:rsidP="00802A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55867D" w14:textId="31D5B386" w:rsidR="002C6A6A" w:rsidRPr="006A786B" w:rsidRDefault="002C6A6A" w:rsidP="006A7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0A0766">
        <w:rPr>
          <w:rFonts w:ascii="Times New Roman" w:hAnsi="Times New Roman" w:cs="Times New Roman"/>
          <w:b/>
          <w:sz w:val="24"/>
          <w:szCs w:val="24"/>
        </w:rPr>
        <w:t>8</w:t>
      </w:r>
      <w:r w:rsidR="006A786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B152FEA" w14:textId="77777777"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Не прихватају се трошкови радова,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ефикасности. </w:t>
      </w:r>
    </w:p>
    <w:p w14:paraId="26DC214A" w14:textId="41465F0B"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Неприхватљиви трошкови – Трошкови који неће бити финансирани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јавним конкурсом из буџета о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пштине </w:t>
      </w:r>
      <w:r w:rsidR="0046601E">
        <w:rPr>
          <w:rFonts w:ascii="Times New Roman" w:eastAsia="Times New Roman" w:hAnsi="Times New Roman" w:cs="Times New Roman"/>
          <w:sz w:val="24"/>
          <w:szCs w:val="24"/>
          <w:lang w:val="sr-Cyrl-CS"/>
        </w:rPr>
        <w:t>Осечина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су:</w:t>
      </w:r>
    </w:p>
    <w:p w14:paraId="65F5E255" w14:textId="77777777"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Трошкови који су у вези са набавком опреме: царински и административни трошкови</w:t>
      </w:r>
    </w:p>
    <w:p w14:paraId="24F8B78A" w14:textId="77777777"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сл.</w:t>
      </w:r>
    </w:p>
    <w:p w14:paraId="74A5E8BE" w14:textId="77777777" w:rsidR="002C6A6A" w:rsidRPr="000A0766" w:rsidRDefault="002C6A6A" w:rsidP="002C6A6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Рефундација трошкова за већ набављену опрему и извршене услуге (плаћене или испоручене)</w:t>
      </w:r>
    </w:p>
    <w:p w14:paraId="1BDEC965" w14:textId="77777777" w:rsidR="005974D3" w:rsidRPr="000A0766" w:rsidRDefault="002C6A6A" w:rsidP="005974D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Набавка опреме коју подносилац захтева за бесповратна средства сам производи или за услуге које  подносилац захтева сам извршава </w:t>
      </w:r>
    </w:p>
    <w:p w14:paraId="4CE0F1A5" w14:textId="77777777" w:rsidR="002C6A6A" w:rsidRPr="000A0766" w:rsidRDefault="002C6A6A" w:rsidP="005974D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Други трошкове који нису у складу са мерама енергетске санације</w:t>
      </w:r>
    </w:p>
    <w:p w14:paraId="4AC877D6" w14:textId="77777777" w:rsidR="002C6A6A" w:rsidRPr="000A0766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74CC60" w14:textId="4AE0520F" w:rsidR="002C6A6A" w:rsidRDefault="002C6A6A" w:rsidP="006A786B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6A786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КОРИСНИЦИ СРЕДСТАВА</w:t>
      </w:r>
    </w:p>
    <w:p w14:paraId="2B306175" w14:textId="77777777" w:rsidR="008E18C4" w:rsidRPr="000A0766" w:rsidRDefault="008E18C4" w:rsidP="006A786B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0CFDDFC" w14:textId="40C6A8DA" w:rsidR="002C6A6A" w:rsidRPr="000A0766" w:rsidRDefault="002C6A6A" w:rsidP="00466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0A0766">
        <w:rPr>
          <w:rFonts w:ascii="Times New Roman" w:hAnsi="Times New Roman" w:cs="Times New Roman"/>
          <w:b/>
          <w:sz w:val="24"/>
          <w:szCs w:val="24"/>
        </w:rPr>
        <w:t>9</w:t>
      </w:r>
      <w:r w:rsidR="0046601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183E93D" w14:textId="77777777" w:rsidR="002C6A6A" w:rsidRPr="000A0766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Директни корисници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средстава за реализацију мера енергетске санације су привредни субјекти.</w:t>
      </w:r>
    </w:p>
    <w:p w14:paraId="18CC3F74" w14:textId="7DF38BBC" w:rsidR="002C6A6A" w:rsidRPr="00FD6E20" w:rsidRDefault="002C6A6A" w:rsidP="00FD6E20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Привредни субјекти су дужни да корисницима испоруче материјале и опрему одговарајућег квалитета и изврше услуге у складу са одредбама уговора и у договореним роковима.</w:t>
      </w:r>
    </w:p>
    <w:p w14:paraId="322CFEC2" w14:textId="0AE3B848" w:rsidR="002C6A6A" w:rsidRPr="000A0766" w:rsidRDefault="002C6A6A" w:rsidP="00363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0A0766">
        <w:rPr>
          <w:rFonts w:ascii="Times New Roman" w:hAnsi="Times New Roman" w:cs="Times New Roman"/>
          <w:b/>
          <w:sz w:val="24"/>
          <w:szCs w:val="24"/>
        </w:rPr>
        <w:t>0</w:t>
      </w:r>
      <w:r w:rsidR="00363D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3362A87" w14:textId="65A219B5" w:rsidR="00802A0E" w:rsidRPr="000A0766" w:rsidRDefault="002C6A6A" w:rsidP="00363D94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Крајњи корисници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2" w:name="_Hlk66823993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бесповратних средстава су домаћинства</w:t>
      </w:r>
      <w:bookmarkEnd w:id="2"/>
      <w:r w:rsidR="00363D9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315BD6D9" w14:textId="77777777" w:rsidR="00960C01" w:rsidRPr="000A0766" w:rsidRDefault="00960C01" w:rsidP="00FD6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B4E0119" w14:textId="77777777" w:rsidR="00802A0E" w:rsidRPr="000A0766" w:rsidRDefault="00802A0E" w:rsidP="00802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II</w:t>
      </w:r>
      <w:r w:rsidR="002C6A6A"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ИМЕНОВАЊЕ И НАДЛЕЖНОСТИ КОМИСИЈЕ</w:t>
      </w:r>
    </w:p>
    <w:p w14:paraId="6A8CF3BF" w14:textId="77777777" w:rsidR="00802A0E" w:rsidRPr="000A0766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92AE058" w14:textId="0A9589A6" w:rsidR="00802A0E" w:rsidRPr="000A0766" w:rsidRDefault="00802A0E" w:rsidP="00363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0A0766">
        <w:rPr>
          <w:rFonts w:ascii="Times New Roman" w:hAnsi="Times New Roman" w:cs="Times New Roman"/>
          <w:b/>
          <w:sz w:val="24"/>
          <w:szCs w:val="24"/>
        </w:rPr>
        <w:t>11</w:t>
      </w:r>
      <w:r w:rsidR="00363D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CED5354" w14:textId="56F255B1" w:rsidR="00802A0E" w:rsidRPr="000A0766" w:rsidRDefault="005B773B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веће</w:t>
      </w:r>
      <w:r w:rsidR="00363D9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Осечина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Решење о образовању комисије за реализацију мера енергетске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Комисија).</w:t>
      </w:r>
    </w:p>
    <w:p w14:paraId="67A2A2AB" w14:textId="29A374F4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конкурси за суфинансирање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име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</w:t>
      </w:r>
      <w:r w:rsidR="00363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Осечина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спроводи Комисија, коју Општинско </w:t>
      </w:r>
      <w:r w:rsidR="00B654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веће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363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Осечина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формира Решењем о образовању комисије.  </w:t>
      </w:r>
    </w:p>
    <w:p w14:paraId="65475C5A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Решењем о образовању Комисије утврђују се: број чланова Комисије, основни подаци о члановима Комисије (име и презиме, назив радног места), основни задаци  и друга питања од значаја за рад Комисије. </w:t>
      </w:r>
    </w:p>
    <w:p w14:paraId="7DAEC78D" w14:textId="5463B3E6" w:rsidR="00802A0E" w:rsidRPr="000A0766" w:rsidRDefault="00363D94" w:rsidP="00363D9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пштина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Осечина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дужна да, на захтев Управе, као члана комисије  из става 1. овог члана укључи лице које именује Управа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74F2631" w14:textId="7E365563" w:rsidR="00960C01" w:rsidRPr="000A0766" w:rsidRDefault="00802A0E" w:rsidP="00363D9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Комисије за свој рад имају право на накнаду.</w:t>
      </w:r>
    </w:p>
    <w:p w14:paraId="05BF1BF1" w14:textId="77777777" w:rsidR="00FB186A" w:rsidRDefault="00FB186A" w:rsidP="00363D9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4450729" w14:textId="6F392466" w:rsidR="00802A0E" w:rsidRPr="000A0766" w:rsidRDefault="00463036" w:rsidP="00363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0A0766">
        <w:rPr>
          <w:rFonts w:ascii="Times New Roman" w:hAnsi="Times New Roman" w:cs="Times New Roman"/>
          <w:b/>
          <w:sz w:val="24"/>
          <w:szCs w:val="24"/>
        </w:rPr>
        <w:t>12</w:t>
      </w:r>
      <w:r w:rsidR="00363D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7307CDA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Основни задаци Комисије нарочито обухватају:</w:t>
      </w:r>
    </w:p>
    <w:p w14:paraId="6A325936" w14:textId="3DC16C40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Припрема конкурсне документације за привредне субјекте и дома</w:t>
      </w:r>
      <w:r w:rsidR="00363D94">
        <w:rPr>
          <w:rFonts w:ascii="Times New Roman" w:hAnsi="Times New Roman" w:cs="Times New Roman"/>
          <w:sz w:val="24"/>
          <w:szCs w:val="24"/>
          <w:lang w:val="sr-Cyrl-CS"/>
        </w:rPr>
        <w:t>ћинства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(јавни позив, образац пријаве, и друго ).</w:t>
      </w:r>
    </w:p>
    <w:p w14:paraId="2895584A" w14:textId="1DF3407A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Оглашавање јавних </w:t>
      </w:r>
      <w:r w:rsidR="00363D94">
        <w:rPr>
          <w:rFonts w:ascii="Times New Roman" w:hAnsi="Times New Roman" w:cs="Times New Roman"/>
          <w:sz w:val="24"/>
          <w:szCs w:val="24"/>
          <w:lang w:val="sr-Cyrl-CS"/>
        </w:rPr>
        <w:t xml:space="preserve">позива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и пратеће документације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63D94">
        <w:rPr>
          <w:rFonts w:ascii="Times New Roman" w:hAnsi="Times New Roman" w:cs="Times New Roman"/>
          <w:bCs/>
          <w:sz w:val="24"/>
          <w:szCs w:val="24"/>
          <w:lang w:val="sr-Cyrl-CS"/>
        </w:rPr>
        <w:t>спроводиће се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огласној табли</w:t>
      </w:r>
      <w:r w:rsidR="00E002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званичној интернет страници о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пштине </w:t>
      </w:r>
      <w:r w:rsidR="00363D94">
        <w:rPr>
          <w:rFonts w:ascii="Times New Roman" w:hAnsi="Times New Roman" w:cs="Times New Roman"/>
          <w:bCs/>
          <w:sz w:val="24"/>
          <w:szCs w:val="24"/>
          <w:lang w:val="sr-Cyrl-CS"/>
        </w:rPr>
        <w:t>Осечина.</w:t>
      </w:r>
    </w:p>
    <w:p w14:paraId="0468E966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Пријем и контрола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приспелих захтева;</w:t>
      </w:r>
    </w:p>
    <w:p w14:paraId="47CEB1B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Рангирање приспелих захтева и избор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пријављених привредних субјеката и домаћинстава;</w:t>
      </w:r>
    </w:p>
    <w:p w14:paraId="6B9D5A7F" w14:textId="43FE9710" w:rsidR="0076495C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Објављивање прелиминарне листе изабраних директних корисника и крајњих корисника на огласној табли и званичној интернет страници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495C">
        <w:rPr>
          <w:rFonts w:ascii="Times New Roman" w:hAnsi="Times New Roman" w:cs="Times New Roman"/>
          <w:sz w:val="24"/>
          <w:szCs w:val="24"/>
          <w:lang w:val="sr-Cyrl-CS"/>
        </w:rPr>
        <w:t>општине Осечина;</w:t>
      </w:r>
    </w:p>
    <w:p w14:paraId="5F849424" w14:textId="358E7D26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495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азматрање приговора на прелиминарну листу изабраних привредних субјеката и домаћинстава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доношење. Прелиминарна ранг листа крајњих корисника представља основ за теренски обилазак Комисије;</w:t>
      </w:r>
    </w:p>
    <w:p w14:paraId="7C34210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Доношење коначне листе изабраних директних корисника и предлога коначне листе изабраних крајњих корисника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којима је признато право на бесповратна средства;</w:t>
      </w:r>
    </w:p>
    <w:p w14:paraId="76E44F0D" w14:textId="088AE250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Израда предлога Уговора о спровођењу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мера енергетске санације и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директних и крајњих корисника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спровођење мера енергетске санације, а које се финансирају из буџета </w:t>
      </w:r>
      <w:r w:rsidR="0076495C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Осечина;</w:t>
      </w:r>
    </w:p>
    <w:p w14:paraId="2FB99E6F" w14:textId="174ACFE9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Комисија је независна у свом раду. Комисија је дужна да  </w:t>
      </w:r>
      <w:r w:rsidR="00E0028F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пштинском већу достави записнике и извештај о  раду.</w:t>
      </w:r>
    </w:p>
    <w:p w14:paraId="7EFFD3C6" w14:textId="077E34F6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Теренски рад Комисије обухвата </w:t>
      </w: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најмање два најављена обиласка, и то:</w:t>
      </w:r>
    </w:p>
    <w:p w14:paraId="376C4FC3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14:paraId="513CB6FE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након спроведених радова ради утврђивања чињеничног стања по пријави завршетка радова.  </w:t>
      </w:r>
    </w:p>
    <w:p w14:paraId="21450F3C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3" w:name="_Hlk66991393"/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14:paraId="716625EB" w14:textId="3508D19D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Записник  садржи и технички извештај о постојећем с</w:t>
      </w:r>
      <w:r w:rsidR="0076495C">
        <w:rPr>
          <w:rFonts w:ascii="Times New Roman" w:hAnsi="Times New Roman" w:cs="Times New Roman"/>
          <w:sz w:val="24"/>
          <w:szCs w:val="24"/>
          <w:lang w:val="sr-Cyrl-CS"/>
        </w:rPr>
        <w:t>тању објекта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након реализованих мера.</w:t>
      </w:r>
    </w:p>
    <w:p w14:paraId="76C9A041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14:paraId="3015CF6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14:paraId="4FC38581" w14:textId="77777777"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14:paraId="1AE577D6" w14:textId="77777777"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информација од директног/крајњег корисника средстава;</w:t>
      </w:r>
    </w:p>
    <w:p w14:paraId="70331BA4" w14:textId="77777777" w:rsidR="00802A0E" w:rsidRPr="000A0766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Друге активности предвиђене уговором;</w:t>
      </w:r>
    </w:p>
    <w:p w14:paraId="73865A43" w14:textId="50DB793F" w:rsidR="00FB186A" w:rsidRPr="0076495C" w:rsidRDefault="00802A0E" w:rsidP="0076495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Припрему  извештаје о напретку и обавештавање надлежних органа и јавности.</w:t>
      </w:r>
    </w:p>
    <w:p w14:paraId="655BBB50" w14:textId="77777777" w:rsidR="00FB186A" w:rsidRDefault="00FB186A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C04CD6B" w14:textId="0B85E406" w:rsidR="00802A0E" w:rsidRPr="000A0766" w:rsidRDefault="00463036" w:rsidP="00764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649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7F493A5D" w14:textId="2CD0AE83" w:rsidR="00802A0E" w:rsidRPr="000A0766" w:rsidRDefault="00AF3C37" w:rsidP="00802A0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Рокови за реализацију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14:paraId="37510057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на Јавни позив за директне кориснике средстава је најмање 15 дана;</w:t>
      </w:r>
    </w:p>
    <w:p w14:paraId="3986DB81" w14:textId="5A15FF28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евалуација пријава на Јавни позив директних корисника (привредни субјекти) 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доношење прелиминарне ранг листе не може бити дужe од 15 дана;</w:t>
      </w:r>
    </w:p>
    <w:p w14:paraId="059FABCC" w14:textId="6B9A091E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крајњих корисника (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) на Јавни позив је најмање 21 дан;</w:t>
      </w:r>
    </w:p>
    <w:p w14:paraId="598E72F8" w14:textId="77777777" w:rsidR="00802A0E" w:rsidRPr="000A0766" w:rsidRDefault="00802A0E" w:rsidP="00802A0E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 крајњих корисника и доношење прелиминарне ранг листe крајњих корисника не може бити дужe од  15  дана;</w:t>
      </w:r>
    </w:p>
    <w:p w14:paraId="48DD8755" w14:textId="77777777" w:rsidR="00802A0E" w:rsidRDefault="00802A0E" w:rsidP="00960C01">
      <w:pPr>
        <w:pStyle w:val="ListParagraph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доношење коначне ранг листе директних / крајњих корисника не може бити дуже  од  15  дана од дана подношења последњег приговора;</w:t>
      </w:r>
      <w:bookmarkEnd w:id="3"/>
    </w:p>
    <w:p w14:paraId="35F2D8B3" w14:textId="77777777" w:rsidR="00960C01" w:rsidRPr="000A0766" w:rsidRDefault="00960C01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407028B0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C6A6A" w:rsidRPr="000A0766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ПОСТУПАК ДОДЕЛЕ СРЕДСТАВА</w:t>
      </w:r>
    </w:p>
    <w:p w14:paraId="29D5C3BA" w14:textId="77777777"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8595E47" w14:textId="0AAF54C3" w:rsidR="00802A0E" w:rsidRPr="003B684D" w:rsidRDefault="005B773B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0782A1C3" w14:textId="029DC139" w:rsidR="00802A0E" w:rsidRPr="000A0766" w:rsidRDefault="003B684D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Средства б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уџета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Осечина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суфинансирању мера енергетске санације породичних кућа и станова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додељују се у складу са одредбама овог Правилника. </w:t>
      </w:r>
    </w:p>
    <w:p w14:paraId="398472C2" w14:textId="04C047D0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Расподела средстава из става 1. овог члана обухвата расписивање јавног позива за привредне субјекте, прикупљање и комплетирање пријава на јавни позив, контролу формалне исправности и комплетности пријава, испуњености услова и оцењивање привредних субјеката ради утврђивање листе директних корисника и доношење акта о избору директних корисника, као и, расписивање јавног позива за грађане</w:t>
      </w:r>
      <w:r w:rsidR="003B684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прикупљање и комплетирање пријава, контролу формалне исправности и комплетности пријава,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оцењивање ради утврђивања листе крајњих корисника на основу критеријума из јавног позива, доношење акта о избору крајњих корисника, реализацију и извештавање.</w:t>
      </w:r>
    </w:p>
    <w:p w14:paraId="08D966AC" w14:textId="77777777" w:rsidR="00647B4F" w:rsidRPr="000A0766" w:rsidRDefault="00647B4F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15D0BBC" w14:textId="2777DC6A" w:rsidR="00802A0E" w:rsidRDefault="00802A0E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 за директне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кориснике (привредне субјекте)</w:t>
      </w:r>
    </w:p>
    <w:p w14:paraId="7A179E4A" w14:textId="77777777" w:rsidR="008E18C4" w:rsidRPr="000A0766" w:rsidRDefault="008E18C4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2ABDF35" w14:textId="56D4D1AF" w:rsidR="00802A0E" w:rsidRPr="003B684D" w:rsidRDefault="002C6A6A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15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3F3AAA8C" w14:textId="77777777" w:rsidR="003B684D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избор директних корисника доноси 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пштинско веће 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Осечина.</w:t>
      </w:r>
    </w:p>
    <w:p w14:paraId="2D47333F" w14:textId="4E1281D0" w:rsidR="00647B4F" w:rsidRPr="00F52EFA" w:rsidRDefault="00E06A16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  <w:r w:rsidR="00647B4F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се расписуј</w:t>
      </w:r>
      <w:r w:rsidR="00647B4F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е за све мере из члана 6. овог правилника</w:t>
      </w:r>
      <w:r w:rsidR="00BB0EFA" w:rsidRPr="00F52EF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0183EC5E" w14:textId="3B1A52DF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позив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избор директних корисника спроводи Комисија. </w:t>
      </w:r>
    </w:p>
    <w:p w14:paraId="3D0F72E5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Пријава подразумева подношење документације у року који је утврђен јавним позивом, а подноси се Комисији.</w:t>
      </w:r>
    </w:p>
    <w:p w14:paraId="14B77D22" w14:textId="093511B3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из става 1. овог члана се обавезно објављује на интернет страници </w:t>
      </w:r>
      <w:r w:rsidR="003B684D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Осечина,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 најава јавног позива и у локалним медијима. </w:t>
      </w:r>
    </w:p>
    <w:p w14:paraId="5E483A4C" w14:textId="77777777" w:rsidR="00802A0E" w:rsidRPr="000A0766" w:rsidRDefault="00802A0E" w:rsidP="00802A0E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BC6BD59" w14:textId="6D9FCD25" w:rsidR="00802A0E" w:rsidRPr="003B684D" w:rsidRDefault="00802A0E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025AC28C" w14:textId="2F6975BB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јавном </w:t>
      </w:r>
      <w:r w:rsidR="003B684D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могу учествовати привредни субјекти који врше испоруку и радове на уградњи материјала, опреме и уређаја</w:t>
      </w:r>
      <w:r w:rsidRPr="000A0766" w:rsidDel="003207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испуњавају следеће услове:</w:t>
      </w:r>
    </w:p>
    <w:p w14:paraId="6EE625B6" w14:textId="77777777"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су уписани у регистар АПР-а, а регистровани су као привредна друштва и предузетници најмање  шест месеци од дана подношења пријаве,</w:t>
      </w:r>
    </w:p>
    <w:p w14:paraId="0E41A172" w14:textId="77777777"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поступак или поступак ликвидације,</w:t>
      </w:r>
    </w:p>
    <w:p w14:paraId="06DB533B" w14:textId="1FD154B6" w:rsidR="00802A0E" w:rsidRPr="000A0766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а</w:t>
      </w:r>
      <w:r w:rsidR="003B684D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тесте за материјале и производе.</w:t>
      </w:r>
    </w:p>
    <w:p w14:paraId="2714B67B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D0B7D25" w14:textId="709A9BD6" w:rsidR="00802A0E" w:rsidRDefault="00802A0E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 за директне</w:t>
      </w:r>
      <w:bookmarkStart w:id="4" w:name="_Hlk68990714"/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кориснике (привредне субјекте)</w:t>
      </w:r>
    </w:p>
    <w:p w14:paraId="77208673" w14:textId="77777777" w:rsidR="008E18C4" w:rsidRPr="000A0766" w:rsidRDefault="008E18C4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9C19E6D" w14:textId="6CB8142A" w:rsidR="00802A0E" w:rsidRPr="000A0766" w:rsidRDefault="00802A0E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2C6A6A" w:rsidRPr="000A076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4"/>
    <w:p w14:paraId="13E7B702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из члана 15. овог Правилника садржи:</w:t>
      </w:r>
    </w:p>
    <w:p w14:paraId="3B64817F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14:paraId="19C8C0B4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циљеве преузете из Правилника о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јединице локалне самоуправе, </w:t>
      </w:r>
    </w:p>
    <w:p w14:paraId="45956B85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финансијски оквир, </w:t>
      </w:r>
    </w:p>
    <w:p w14:paraId="104A94A7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намену средстава, </w:t>
      </w:r>
    </w:p>
    <w:p w14:paraId="18357B26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14:paraId="56C22849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14:paraId="71905D4C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испуњеност услова из јавног позива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14:paraId="4A581236" w14:textId="77777777" w:rsidR="00802A0E" w:rsidRPr="000A0766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14:paraId="2FBF8725" w14:textId="1E3C9102" w:rsidR="00802A0E" w:rsidRDefault="00802A0E" w:rsidP="00802A0E">
      <w:pPr>
        <w:pStyle w:val="ListParagraph"/>
        <w:numPr>
          <w:ilvl w:val="0"/>
          <w:numId w:val="6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објављивања одлуке о учешћу привредних субјеката у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684D">
        <w:rPr>
          <w:rFonts w:ascii="Times New Roman" w:hAnsi="Times New Roman" w:cs="Times New Roman"/>
          <w:sz w:val="24"/>
          <w:szCs w:val="24"/>
          <w:lang w:val="sr-Cyrl-CS"/>
        </w:rPr>
        <w:t>по јавном позиву.</w:t>
      </w:r>
    </w:p>
    <w:p w14:paraId="418666A6" w14:textId="77777777" w:rsidR="008E18C4" w:rsidRDefault="008E18C4" w:rsidP="00E00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5" w:name="_Hlk66970349"/>
    </w:p>
    <w:p w14:paraId="5C1CB4F6" w14:textId="77777777" w:rsidR="008E18C4" w:rsidRDefault="008E18C4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D4DEC85" w14:textId="305C0146" w:rsidR="00802A0E" w:rsidRDefault="00802A0E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директне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кориснике (привредне субјекте)</w:t>
      </w:r>
    </w:p>
    <w:p w14:paraId="2CDA8CFD" w14:textId="77777777" w:rsidR="008E18C4" w:rsidRPr="000A0766" w:rsidRDefault="008E18C4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D21F1B9" w14:textId="0B399D7B" w:rsidR="00802A0E" w:rsidRPr="000A0766" w:rsidRDefault="00463036" w:rsidP="003B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3B68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4A433EC4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привредни субјект садржи пријавни образац са приложеном документацијом.</w:t>
      </w:r>
    </w:p>
    <w:p w14:paraId="10CBC916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Пријавни образац се налази у прилогу јавног позива и садржи нарочито:</w:t>
      </w:r>
    </w:p>
    <w:p w14:paraId="74EE0956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податке о привредном субјекту;</w:t>
      </w:r>
    </w:p>
    <w:p w14:paraId="6AE918DB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податке о законском заступнику;</w:t>
      </w:r>
    </w:p>
    <w:p w14:paraId="0B6B8A10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профил привредног субјекта;</w:t>
      </w:r>
    </w:p>
    <w:p w14:paraId="379C4F12" w14:textId="77777777" w:rsidR="00802A0E" w:rsidRPr="000A0766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ценовни преглед роба и услуга;</w:t>
      </w:r>
    </w:p>
    <w:p w14:paraId="0292356B" w14:textId="77777777" w:rsidR="00802A0E" w:rsidRPr="000A0766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6" w:name="_GoBack"/>
      <w:bookmarkEnd w:id="6"/>
    </w:p>
    <w:p w14:paraId="373CE994" w14:textId="1AB60588" w:rsidR="00802A0E" w:rsidRDefault="00802A0E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рангирање директних к</w:t>
      </w:r>
      <w:r w:rsidR="000416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орисника (привредних субјеката)</w:t>
      </w:r>
    </w:p>
    <w:p w14:paraId="4EDF8336" w14:textId="77777777" w:rsidR="004856A2" w:rsidRPr="00041624" w:rsidRDefault="004856A2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7BCA81C" w14:textId="75DF9419" w:rsidR="00802A0E" w:rsidRPr="000A0766" w:rsidRDefault="00802A0E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0416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7B8A17A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7" w:name="_Hlk68985879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за рангирање директних обухватају следеће:</w:t>
      </w:r>
    </w:p>
    <w:p w14:paraId="7BBB626C" w14:textId="77777777" w:rsidR="00802A0E" w:rsidRPr="000A0766" w:rsidRDefault="00802A0E" w:rsidP="00802A0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цене кључних добара  заједно са уградњом за меру за коју конкуришу;</w:t>
      </w:r>
    </w:p>
    <w:p w14:paraId="5EBBBEF2" w14:textId="77777777" w:rsidR="00802A0E" w:rsidRPr="000A0766" w:rsidRDefault="00802A0E" w:rsidP="00802A0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рок важења цена за меру коју конкуришу;</w:t>
      </w:r>
    </w:p>
    <w:p w14:paraId="6399318A" w14:textId="77777777" w:rsidR="00802A0E" w:rsidRPr="000A0766" w:rsidRDefault="00802A0E" w:rsidP="00802A0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други критеријуми ближе дефинисани јавним позивом.</w:t>
      </w:r>
    </w:p>
    <w:p w14:paraId="070E5CF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4D12384A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bookmarkEnd w:id="7"/>
    <w:p w14:paraId="4F065BAE" w14:textId="77777777"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011E177" w14:textId="723CFCF5" w:rsidR="00802A0E" w:rsidRDefault="00802A0E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Оцењивање, утврђивање листе изабраних директних корисника и угов</w:t>
      </w:r>
      <w:r w:rsidR="000416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арање</w:t>
      </w:r>
    </w:p>
    <w:p w14:paraId="57FB0F73" w14:textId="77777777" w:rsidR="004856A2" w:rsidRPr="00041624" w:rsidRDefault="004856A2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44CF518" w14:textId="1830C61B" w:rsidR="00802A0E" w:rsidRPr="00041624" w:rsidRDefault="004B6E41" w:rsidP="00041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0416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1763439B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8" w:name="_Hlk66995067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приспелих пријава привредних субјеката врши се применом критеријума из члана 19. овог Правилника. </w:t>
      </w:r>
    </w:p>
    <w:bookmarkEnd w:id="8"/>
    <w:p w14:paraId="56255963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разматра пријаве и у складу са условима Јавног позива, утврђује прелиминарну листу директних корисника.</w:t>
      </w:r>
    </w:p>
    <w:p w14:paraId="71E32120" w14:textId="18545DDE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Прелиминарну листу директних корисника Комиси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ја објављује на огласној табли о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пштине </w:t>
      </w:r>
      <w:r w:rsidR="000416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Осечина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званичној интернет страници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041624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Осечина.</w:t>
      </w:r>
    </w:p>
    <w:p w14:paraId="317AB3A0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Учесници Јавног позива имају право увида у поднете пријаве и приложену документацију по утврђивању прелиминарне листе директних корисника, у року од три дана од дана објављивања листе.</w:t>
      </w:r>
    </w:p>
    <w:p w14:paraId="4B49C34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прелиминарну листу директних корисника учесници конкурса имају право приговора Комисији у року од осам дана од дана њеног објављивања.</w:t>
      </w:r>
    </w:p>
    <w:p w14:paraId="67D5B044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прелиминарну листу директних корисника као и да донесе  Одлуку о приговору, која мора бити образложена,  у року од 15 дана од дана његовог пријема. </w:t>
      </w:r>
    </w:p>
    <w:p w14:paraId="0BD81E5D" w14:textId="127805F0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Општинском већу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 w:rsidRP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пштине Осечина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усвајање.</w:t>
      </w:r>
    </w:p>
    <w:p w14:paraId="7D117A59" w14:textId="0FC2CEFB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76C6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доноси </w:t>
      </w:r>
      <w:r w:rsidRPr="000A0766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Одлуку о избору директних корисника у спровођењу мера енергетске санације. </w:t>
      </w:r>
    </w:p>
    <w:p w14:paraId="228F9AC0" w14:textId="614B19F3" w:rsidR="00802A0E" w:rsidRPr="000A0766" w:rsidRDefault="00802A0E" w:rsidP="0080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       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Одлука Општинског већа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76C6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избору директних корисника у спровођењу мера енергетске санације објављује се на огласној табли Општинске управе 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Осечина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званичној интернет страници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Осечина.</w:t>
      </w:r>
    </w:p>
    <w:p w14:paraId="7A30794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Уговор о у спровођењу мера енергетске санације потписује се након доношења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крајњих корисника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спровођење мера енергетске санације.</w:t>
      </w:r>
    </w:p>
    <w:p w14:paraId="30AAC96E" w14:textId="023050F2" w:rsidR="00802A0E" w:rsidRPr="00394EDD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E5B">
        <w:rPr>
          <w:rFonts w:ascii="Times New Roman" w:hAnsi="Times New Roman" w:cs="Times New Roman"/>
          <w:sz w:val="24"/>
          <w:szCs w:val="24"/>
          <w:lang w:val="sr-Cyrl-CS"/>
        </w:rPr>
        <w:t>Уколико се на јавни позив за директне кориснике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за одређену меру/мере енергетске ефикасности</w:t>
      </w:r>
      <w:r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не 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>при</w:t>
      </w:r>
      <w:r w:rsidRPr="00D51E5B">
        <w:rPr>
          <w:rFonts w:ascii="Times New Roman" w:hAnsi="Times New Roman" w:cs="Times New Roman"/>
          <w:sz w:val="24"/>
          <w:szCs w:val="24"/>
          <w:lang w:val="sr-Cyrl-CS"/>
        </w:rPr>
        <w:t>јави ни један или недовољно привредних субјеката</w:t>
      </w:r>
      <w:r w:rsidR="00FB186A" w:rsidRPr="00D51E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4F24" w:rsidRPr="00D51E5B">
        <w:rPr>
          <w:rFonts w:ascii="Times New Roman" w:hAnsi="Times New Roman" w:cs="Times New Roman"/>
          <w:sz w:val="24"/>
          <w:szCs w:val="24"/>
          <w:lang w:val="sr-Cyrl-CS"/>
        </w:rPr>
        <w:t xml:space="preserve"> та мера/мере се неће налазити</w:t>
      </w:r>
      <w:r w:rsidR="00C576C6">
        <w:rPr>
          <w:rFonts w:ascii="Times New Roman" w:hAnsi="Times New Roman" w:cs="Times New Roman"/>
          <w:sz w:val="24"/>
          <w:szCs w:val="24"/>
          <w:lang w:val="sr-Cyrl-CS"/>
        </w:rPr>
        <w:t xml:space="preserve"> у јавном позиву за домаћинства.</w:t>
      </w:r>
    </w:p>
    <w:p w14:paraId="22FE5302" w14:textId="77777777" w:rsidR="00463036" w:rsidRDefault="00802A0E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5"/>
    </w:p>
    <w:p w14:paraId="0344A49C" w14:textId="77777777" w:rsidR="00FD6E20" w:rsidRDefault="00FD6E20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B6BAB24" w14:textId="77777777" w:rsidR="00FD6E20" w:rsidRDefault="00FD6E20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C91864E" w14:textId="77777777" w:rsidR="00FD6E20" w:rsidRDefault="00FD6E20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5DA436B" w14:textId="77777777" w:rsidR="00FD6E20" w:rsidRPr="000A0766" w:rsidRDefault="00FD6E20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1C34999" w14:textId="129E08E4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Јавни позив за доделу бесповратних средстава </w:t>
      </w:r>
      <w:r w:rsidR="004C4F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домаћинствма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0BEB2C35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4F4D6CAF" w14:textId="5376BCD1" w:rsidR="00802A0E" w:rsidRPr="00C576C6" w:rsidRDefault="00802A0E" w:rsidP="00C5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576C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684F6285" w14:textId="4BDEBE83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доделу бесповратних средстава </w:t>
      </w:r>
      <w:r w:rsidR="004C4F24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домаћинствима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а енергетску санацију породичних кућа и станова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доноси Општинско веће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Осечина.</w:t>
      </w:r>
    </w:p>
    <w:p w14:paraId="48836634" w14:textId="28922DC4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за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доделу бесповратних средстава грађанима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спроводи Комисија. </w:t>
      </w:r>
    </w:p>
    <w:p w14:paraId="70330617" w14:textId="77777777" w:rsidR="00C576C6" w:rsidRDefault="004C4F24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Дома</w:t>
      </w:r>
      <w:r w:rsidR="00C576C6">
        <w:rPr>
          <w:rFonts w:ascii="Times New Roman" w:hAnsi="Times New Roman" w:cs="Times New Roman"/>
          <w:bCs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инства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- учесници конкурса подносе пријаву Комисији.</w:t>
      </w:r>
    </w:p>
    <w:p w14:paraId="73F4A337" w14:textId="1AEAA94A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Пријава подразумева подношење конкурсне документације  у року који је утврђен јавним позивом.</w:t>
      </w:r>
    </w:p>
    <w:p w14:paraId="0B267C61" w14:textId="117A066D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објављује на огласној табли Општинске управе</w:t>
      </w:r>
      <w:r w:rsidR="00C576C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Осечина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званичној интернет страници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најава јавног позива и у свим локалним медијима. </w:t>
      </w:r>
    </w:p>
    <w:p w14:paraId="5E7E516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Конкурсна документација садржи:</w:t>
      </w:r>
    </w:p>
    <w:p w14:paraId="2F05D727" w14:textId="77777777" w:rsidR="00802A0E" w:rsidRPr="000A0766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</w:p>
    <w:p w14:paraId="0E1BBAE1" w14:textId="77777777" w:rsidR="00802A0E" w:rsidRPr="000A0766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9" w:name="_Hlk66978480"/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пријавни образац са листом потребних докумената</w:t>
      </w:r>
      <w:bookmarkEnd w:id="9"/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14:paraId="58DCF6B2" w14:textId="77777777" w:rsidR="00802A0E" w:rsidRPr="000A0766" w:rsidRDefault="00802A0E" w:rsidP="00802A0E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4763FB92" w14:textId="66FE8DC7" w:rsidR="00802A0E" w:rsidRPr="000A0766" w:rsidRDefault="00802A0E" w:rsidP="00C57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4B6E41" w:rsidRPr="000A0766">
        <w:rPr>
          <w:rFonts w:ascii="Times New Roman" w:hAnsi="Times New Roman" w:cs="Times New Roman"/>
          <w:b/>
          <w:sz w:val="24"/>
          <w:szCs w:val="24"/>
        </w:rPr>
        <w:t>2</w:t>
      </w:r>
      <w:r w:rsidR="00C576C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1B6E408" w14:textId="5215B5F1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Право учешћа на </w:t>
      </w:r>
      <w:r w:rsidR="00C576C6">
        <w:rPr>
          <w:rFonts w:ascii="Times New Roman" w:hAnsi="Times New Roman" w:cs="Times New Roman"/>
          <w:bCs/>
          <w:sz w:val="24"/>
          <w:szCs w:val="24"/>
          <w:lang w:val="sr-Cyrl-CS"/>
        </w:rPr>
        <w:t>јавном позиву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имају </w:t>
      </w:r>
      <w:r w:rsidR="004C4F24"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станују у породичним кућама и становима 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A5B6E"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FB18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испуњавају следеће услове:</w:t>
      </w:r>
    </w:p>
    <w:p w14:paraId="4056F87F" w14:textId="59108583" w:rsidR="0094406C" w:rsidRPr="007041B8" w:rsidRDefault="00802A0E" w:rsidP="00802A0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 w:rsidRPr="007041B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D52C1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1B8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1B8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8D52C1" w:rsidRPr="007041B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6388080F" w14:textId="69DED0EC" w:rsidR="006F0BFC" w:rsidRPr="007041B8" w:rsidRDefault="00802A0E" w:rsidP="007041B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sz w:val="24"/>
          <w:szCs w:val="24"/>
          <w:lang w:val="sr-Cyrl-CS"/>
        </w:rPr>
        <w:t>власник објекта</w:t>
      </w:r>
      <w:r w:rsidR="0094406C" w:rsidRPr="007041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="0094406C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74AA252D" w14:textId="36F96BD1" w:rsidR="00802A0E" w:rsidRPr="007041B8" w:rsidRDefault="00CF534A" w:rsidP="007041B8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ако подносилац пријаве није власник, онда да подносилац пријаве 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има пријаву боравка на адреси објекта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02A0E"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02A0E"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802A0E" w:rsidRPr="00704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A0E" w:rsidRPr="007041B8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0A076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и тада је 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>потребн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E06A16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уз пријаву поднети </w:t>
      </w:r>
      <w:r w:rsidR="006F0BFC" w:rsidRPr="007041B8">
        <w:rPr>
          <w:rFonts w:ascii="Times New Roman" w:hAnsi="Times New Roman" w:cs="Times New Roman"/>
          <w:sz w:val="24"/>
          <w:szCs w:val="24"/>
          <w:lang w:val="sr-Cyrl-CS"/>
        </w:rPr>
        <w:t>писану</w:t>
      </w:r>
      <w:r w:rsidR="00802A0E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сагласност власника</w:t>
      </w:r>
      <w:r w:rsidR="00E06A16" w:rsidRPr="007041B8">
        <w:rPr>
          <w:rFonts w:ascii="Times New Roman" w:hAnsi="Times New Roman" w:cs="Times New Roman"/>
          <w:sz w:val="24"/>
          <w:szCs w:val="24"/>
          <w:lang w:val="sr-Cyrl-CS"/>
        </w:rPr>
        <w:t xml:space="preserve"> објекта</w:t>
      </w:r>
    </w:p>
    <w:p w14:paraId="3E61279C" w14:textId="786A6A52" w:rsidR="00802A0E" w:rsidRPr="007041B8" w:rsidRDefault="00802A0E" w:rsidP="00802A0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је објекат настањен 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412C62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уз пријаву приложити копију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рачун</w:t>
      </w:r>
      <w:r w:rsidR="00412C62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електричну енергију где се види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је потрошња електричне </w:t>
      </w:r>
      <w:r w:rsidR="00CF534A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енергије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</w:t>
      </w:r>
      <w:r w:rsidR="00E87DCE"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објекту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претходном месецу минимално 30 </w:t>
      </w:r>
      <w:r w:rsidRPr="007041B8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kwh. </w:t>
      </w:r>
      <w:r w:rsidRPr="007041B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275FA9D4" w14:textId="77777777" w:rsidR="00802A0E" w:rsidRPr="000A0766" w:rsidRDefault="00802A0E" w:rsidP="00802A0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не 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ефикасности.</w:t>
      </w:r>
    </w:p>
    <w:p w14:paraId="1C02EF8D" w14:textId="3533D5DE" w:rsidR="00802A0E" w:rsidRPr="000A0766" w:rsidRDefault="00802A0E" w:rsidP="00802A0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други услови у складу са јавним позивом за </w:t>
      </w:r>
      <w:r w:rsidR="004C4F24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37ACBD47" w14:textId="77777777" w:rsidR="00463036" w:rsidRPr="000A0766" w:rsidRDefault="00463036" w:rsidP="0080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78E62A73" w14:textId="77777777" w:rsidR="00802A0E" w:rsidRPr="000A0766" w:rsidRDefault="00463036" w:rsidP="0080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Уколико има више од једног власника породичне куће, потребно је доставити сагласност осталих власника приликом пријаве.</w:t>
      </w:r>
    </w:p>
    <w:p w14:paraId="21F39492" w14:textId="25F1C37B" w:rsidR="00960C01" w:rsidRDefault="00463036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Уколико подносилац пријаве није власник породичне куће, потребно је доставити сагласност власника.</w:t>
      </w:r>
    </w:p>
    <w:p w14:paraId="46E512DC" w14:textId="77777777" w:rsidR="00C576C6" w:rsidRPr="000A0766" w:rsidRDefault="00C576C6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35658AB" w14:textId="558C8D09" w:rsidR="00802A0E" w:rsidRDefault="00802A0E" w:rsidP="0048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 з</w:t>
      </w:r>
      <w:r w:rsidR="00C576C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крајње кориснике (домаћинства)</w:t>
      </w:r>
    </w:p>
    <w:p w14:paraId="6DBFE2C1" w14:textId="77777777" w:rsidR="004856A2" w:rsidRPr="004856A2" w:rsidRDefault="004856A2" w:rsidP="0048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F9D8D50" w14:textId="18018C1F" w:rsidR="00802A0E" w:rsidRPr="000A0766" w:rsidRDefault="004B6E41" w:rsidP="00C5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23</w:t>
      </w:r>
      <w:r w:rsidR="00C576C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4A430CAE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из </w:t>
      </w:r>
      <w:r w:rsidR="00723251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21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 садржи:</w:t>
      </w:r>
    </w:p>
    <w:p w14:paraId="094A4828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14:paraId="01BECAF3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циљеве преузете из Правилника о суфинансирању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јединице локалне самоуправе, </w:t>
      </w:r>
    </w:p>
    <w:p w14:paraId="0F7C8A65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финансијски оквир, </w:t>
      </w:r>
    </w:p>
    <w:p w14:paraId="37D60E6D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намену средстава, </w:t>
      </w:r>
    </w:p>
    <w:p w14:paraId="29F42BE3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број мера за које један корисник може да конкурише,</w:t>
      </w:r>
    </w:p>
    <w:p w14:paraId="17447776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14:paraId="38A7B519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листу директних корисника преко којих се реализују мере,</w:t>
      </w:r>
    </w:p>
    <w:p w14:paraId="14DB41A6" w14:textId="77777777" w:rsidR="00802A0E" w:rsidRPr="000A0766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14:paraId="3A722E4F" w14:textId="0CAA6B87"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на који </w:t>
      </w:r>
      <w:r w:rsidR="00E0028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576C6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76C6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пружа додатне информације и помоћ подносиоцу пријаве у припреми и подношењу пријаве,</w:t>
      </w:r>
    </w:p>
    <w:p w14:paraId="49675E98" w14:textId="77777777"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14:paraId="1DA4DB84" w14:textId="77777777"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поступак одобравања средстава,</w:t>
      </w:r>
    </w:p>
    <w:p w14:paraId="588618D0" w14:textId="09486911" w:rsidR="00802A0E" w:rsidRPr="000A0766" w:rsidRDefault="00802A0E" w:rsidP="00802A0E">
      <w:pPr>
        <w:pStyle w:val="ListParagraph"/>
        <w:numPr>
          <w:ilvl w:val="0"/>
          <w:numId w:val="11"/>
        </w:numPr>
        <w:tabs>
          <w:tab w:val="left" w:pos="360"/>
        </w:tabs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начин објављивања одлуке о остваривању права на бесповратна средства грађанима за спровођење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по јавном позиву.</w:t>
      </w:r>
    </w:p>
    <w:p w14:paraId="2B72D6CE" w14:textId="77777777" w:rsidR="00802A0E" w:rsidRPr="000A0766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2D786AF" w14:textId="0C0B7F72" w:rsidR="00802A0E" w:rsidRDefault="00802A0E" w:rsidP="0048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крајње кориснике</w:t>
      </w:r>
      <w:r w:rsidR="004C4F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C4F2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домаћинств</w:t>
      </w:r>
      <w:r w:rsidR="004C4F24" w:rsidRPr="00C576C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C576C6" w:rsidRPr="00C576C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3024DE7B" w14:textId="77777777" w:rsidR="004856A2" w:rsidRPr="000A0766" w:rsidRDefault="004856A2" w:rsidP="0048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29292E2" w14:textId="75DBE59C" w:rsidR="00802A0E" w:rsidRPr="00C576C6" w:rsidRDefault="00802A0E" w:rsidP="00C5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0" w:name="_Hlk66981395"/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bookmarkEnd w:id="10"/>
    </w:p>
    <w:p w14:paraId="1C19A1A6" w14:textId="63547506" w:rsidR="00802A0E" w:rsidRPr="000A0766" w:rsidRDefault="00802A0E" w:rsidP="00802A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Документацијa коју доставља грађанин</w:t>
      </w:r>
      <w:r w:rsidR="00C4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подносилац пријаве при подношењу пријаве: </w:t>
      </w:r>
    </w:p>
    <w:p w14:paraId="1E5B23F7" w14:textId="77777777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потписан и попуњен Пријавни образац за суфинасирање мера енергетске ефикасности (Прилог 1)  са попуњеним подацима о мери за коју се конкурише и о стању грађевинских(фасадних) елемената и грејног система објекта;</w:t>
      </w:r>
    </w:p>
    <w:p w14:paraId="297F7939" w14:textId="77777777" w:rsidR="00802A0E" w:rsidRPr="000A0766" w:rsidRDefault="00802A0E" w:rsidP="00802A0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фотокопије личних карата или очитане личне карте 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14:paraId="1A5A45EB" w14:textId="77777777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фотокопију рачуна за утрошену електричну енергију за стамбени објекат  за који се конкурише за последњи месец, ради доказа да се  живи у пријављеном стамбеном објекту о (препоручује се да минимална потрошња не може бити мања од 30 kWh месечно);</w:t>
      </w:r>
    </w:p>
    <w:p w14:paraId="6A44D871" w14:textId="70D0BDA4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предмер и предрачун/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профактура</w:t>
      </w: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опрему са уградњом издата од привредног субјекта са листе директних корисника (привредних субјекат</w:t>
      </w:r>
      <w:r w:rsidR="00AF47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а)  (Прилог 2) који је објавила </w:t>
      </w:r>
      <w:r w:rsidR="00E0028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AF4754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Осечина;</w:t>
      </w:r>
    </w:p>
    <w:p w14:paraId="6E304635" w14:textId="77777777" w:rsidR="00802A0E" w:rsidRPr="000A0766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изјава о члановима домаћинства са фотокопијом личних карата за сваког члана домаћинства са јасно видљивом адресом становања; </w:t>
      </w:r>
    </w:p>
    <w:p w14:paraId="6D433233" w14:textId="1D225050" w:rsidR="00802A0E" w:rsidRPr="00AF4754" w:rsidRDefault="00802A0E" w:rsidP="00802A0E">
      <w:pPr>
        <w:pStyle w:val="ListParagraph"/>
        <w:numPr>
          <w:ilvl w:val="0"/>
          <w:numId w:val="15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1" w:name="_Hlk75026550"/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</w:t>
      </w:r>
      <w:r w:rsidRPr="005F6587">
        <w:rPr>
          <w:rFonts w:ascii="Times New Roman" w:hAnsi="Times New Roman" w:cs="Times New Roman"/>
          <w:sz w:val="24"/>
          <w:szCs w:val="24"/>
          <w:lang w:val="sr-Cyrl-CS"/>
        </w:rPr>
        <w:t>одлучивања.</w:t>
      </w:r>
      <w:r w:rsidR="00AF4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4DA4" w:rsidRPr="005F6587">
        <w:rPr>
          <w:rFonts w:ascii="Times New Roman" w:hAnsi="Times New Roman" w:cs="Times New Roman"/>
          <w:sz w:val="24"/>
          <w:szCs w:val="24"/>
          <w:lang w:val="sr-Cyrl-CS"/>
        </w:rPr>
        <w:t xml:space="preserve">(Прилог </w:t>
      </w:r>
      <w:r w:rsidR="005F6587" w:rsidRPr="005F6587">
        <w:rPr>
          <w:rFonts w:ascii="Times New Roman" w:hAnsi="Times New Roman" w:cs="Times New Roman"/>
          <w:sz w:val="24"/>
          <w:szCs w:val="24"/>
        </w:rPr>
        <w:t>3</w:t>
      </w:r>
      <w:r w:rsidR="009C4DA4" w:rsidRPr="005F6587">
        <w:rPr>
          <w:rFonts w:ascii="Times New Roman" w:hAnsi="Times New Roman" w:cs="Times New Roman"/>
          <w:sz w:val="24"/>
          <w:szCs w:val="24"/>
          <w:lang w:val="sr-Cyrl-CS"/>
        </w:rPr>
        <w:t>)</w:t>
      </w:r>
      <w:bookmarkEnd w:id="11"/>
    </w:p>
    <w:p w14:paraId="4C5D9A7B" w14:textId="77777777" w:rsidR="00802A0E" w:rsidRPr="000A0766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2" w:name="_Hlk66994674"/>
    </w:p>
    <w:p w14:paraId="0F52A462" w14:textId="1CA23184" w:rsidR="00802A0E" w:rsidRPr="00AF4754" w:rsidRDefault="00802A0E" w:rsidP="00AF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25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bookmarkEnd w:id="12"/>
    </w:p>
    <w:p w14:paraId="7078F640" w14:textId="77777777" w:rsidR="00802A0E" w:rsidRPr="000A0766" w:rsidRDefault="00802A0E" w:rsidP="00802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Право учешћа на јавном позиву немају: </w:t>
      </w:r>
    </w:p>
    <w:p w14:paraId="6B8BED5C" w14:textId="486FD691" w:rsidR="00802A0E" w:rsidRPr="000A0766" w:rsidRDefault="00802A0E" w:rsidP="00802A0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власници посебних делова стамбено-пословног објеката који не служе за становање</w:t>
      </w:r>
      <w:r w:rsidR="00AF47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14:paraId="1CFF5BD9" w14:textId="36622948" w:rsidR="00AF4754" w:rsidRPr="00E0028F" w:rsidRDefault="00802A0E" w:rsidP="00E0028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14:paraId="0B736343" w14:textId="77777777" w:rsidR="00AF4754" w:rsidRPr="000A0766" w:rsidRDefault="00AF4754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05F1ACE" w14:textId="23A58B5E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 крајњих корисника (породичне куће</w:t>
      </w:r>
      <w:r w:rsidR="00AF475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станови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14:paraId="2B941C97" w14:textId="77777777" w:rsidR="00802A0E" w:rsidRPr="000A0766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2D090443" w14:textId="5DF89E6A" w:rsidR="00802A0E" w:rsidRPr="00AF4754" w:rsidRDefault="00802A0E" w:rsidP="00AF4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26</w:t>
      </w:r>
      <w:r w:rsidR="00AF475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4DF552E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за оцењивање пристиглих пријава и избор корисника средстава врши ће</w:t>
      </w:r>
    </w:p>
    <w:p w14:paraId="577B776F" w14:textId="77777777" w:rsidR="00802A0E" w:rsidRPr="000A0766" w:rsidRDefault="00802A0E" w:rsidP="0080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на основу листе приоритета састављене бодовањем према следећим критеријумима: </w:t>
      </w:r>
    </w:p>
    <w:p w14:paraId="36A1CAA5" w14:textId="4774C572" w:rsidR="00802A0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F15A1BD" w14:textId="77777777" w:rsidR="00E75D7C" w:rsidRPr="000A0766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7E7F64D" w14:textId="664123A1" w:rsidR="00802A0E" w:rsidRPr="00DA7373" w:rsidRDefault="00701F6C" w:rsidP="005F6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Критеријуми за избор пројеката грађана које обухватају мере енергетске ефикасности из члана 6. став 2. тач.</w:t>
      </w:r>
      <w:r w:rsidR="00DA737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2</w:t>
      </w:r>
      <w:r w:rsidR="001722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DA737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3)</w:t>
      </w:r>
    </w:p>
    <w:p w14:paraId="7F763EB8" w14:textId="77777777" w:rsidR="00E75D7C" w:rsidRPr="00C757B3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0A0766" w14:paraId="70AA59CB" w14:textId="77777777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E1438" w14:textId="025DCFC8" w:rsidR="00802A0E" w:rsidRPr="000A0766" w:rsidRDefault="00802A0E" w:rsidP="007F7EE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Постављање термичке изолације зидова, крова, таваница и осталих делова термичког омотача према негр</w:t>
            </w:r>
            <w:r w:rsidR="007F7E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ејаномпростору</w:t>
            </w:r>
            <w:r w:rsidR="00DA7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F7E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(стамбених зграда и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породичних кућа)</w:t>
            </w:r>
          </w:p>
        </w:tc>
      </w:tr>
      <w:tr w:rsidR="00802A0E" w:rsidRPr="000A0766" w14:paraId="4E498119" w14:textId="77777777" w:rsidTr="00E5164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43BC74" w14:textId="551DFC44" w:rsidR="00802A0E" w:rsidRPr="000A0766" w:rsidRDefault="00802A0E" w:rsidP="006F1EE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 w:rsidR="006F1E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183CA" w14:textId="77777777" w:rsidR="00802A0E" w:rsidRPr="000A0766" w:rsidRDefault="00802A0E" w:rsidP="0046303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2E9B32F4" w14:textId="77777777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A7611" w14:textId="6518607C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кров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07025" w14:textId="55E95931" w:rsidR="00802A0E" w:rsidRPr="000A0766" w:rsidRDefault="00E51645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6C38F64D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FE899E" w14:textId="740F9446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а кров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371B" w14:textId="14B83BB7" w:rsidR="00802A0E" w:rsidRPr="000A0766" w:rsidRDefault="00E51645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340221" w:rsidRPr="000A0766" w14:paraId="1040B605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7B93E1" w14:textId="263E02A2" w:rsidR="00340221" w:rsidRPr="000A0766" w:rsidRDefault="00340221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F966" w14:textId="4EB0D0A3" w:rsidR="00340221" w:rsidRPr="000A0766" w:rsidRDefault="00E51645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340221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340221" w:rsidRPr="000A0766" w14:paraId="39B00C96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9389E0" w14:textId="6BEFD065" w:rsidR="00340221" w:rsidRPr="000A0766" w:rsidRDefault="00340221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D28B9" w14:textId="41D0808C" w:rsidR="00340221" w:rsidRPr="000A0766" w:rsidRDefault="00340221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1645" w:rsidRPr="000A0766" w14:paraId="567705DE" w14:textId="77777777" w:rsidTr="00E51645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90F0E9" w14:textId="77777777" w:rsidR="00E51645" w:rsidRPr="000A0766" w:rsidRDefault="00E51645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1645" w:rsidRPr="000A0766" w14:paraId="6CF565CC" w14:textId="77777777" w:rsidTr="00E5164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681733" w14:textId="77777777" w:rsidR="00E51645" w:rsidRPr="000A0766" w:rsidRDefault="00E51645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EE6B5" w14:textId="77777777" w:rsidR="00E51645" w:rsidRPr="000A0766" w:rsidRDefault="00E51645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1645" w:rsidRPr="000A0766" w14:paraId="5BC135FE" w14:textId="77777777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F3E38" w14:textId="77777777" w:rsidR="00E51645" w:rsidRPr="000A0766" w:rsidRDefault="00E51645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2AE9B" w14:textId="302CA751" w:rsidR="00E51645" w:rsidRPr="000A0766" w:rsidRDefault="00E51645" w:rsidP="00E51645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1645" w:rsidRPr="000A0766" w14:paraId="110317CD" w14:textId="77777777" w:rsidTr="00E5164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12844" w14:textId="77777777" w:rsidR="00E51645" w:rsidRPr="000A0766" w:rsidRDefault="00E51645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28E1F" w14:textId="5D67AB13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1645" w:rsidRPr="000A0766" w14:paraId="26E23C69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D376" w14:textId="77777777" w:rsidR="00E51645" w:rsidRPr="000A0766" w:rsidRDefault="00E51645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1345A" w14:textId="3A7705FA" w:rsidR="00E51645" w:rsidRPr="000A0766" w:rsidRDefault="00E51645" w:rsidP="00E516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1645" w:rsidRPr="000A0766" w14:paraId="53B23D58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44835" w14:textId="77777777" w:rsidR="00E51645" w:rsidRPr="000A0766" w:rsidRDefault="00E51645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2FEB6" w14:textId="506548E8" w:rsidR="00E51645" w:rsidRPr="000A0766" w:rsidRDefault="00C14560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23AF07B0" w14:textId="77777777" w:rsidTr="00E5164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DCC9A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688FAED9" w14:textId="77777777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C6B951" w14:textId="62078932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="00E516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0BC1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2B0648B3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339C76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64EB5" w14:textId="77038FF5" w:rsidR="00802A0E" w:rsidRPr="000A0766" w:rsidRDefault="00E51645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2656B6EB" w14:textId="77777777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1FD7CA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63546" w14:textId="1317CDCD" w:rsidR="00802A0E" w:rsidRPr="000A0766" w:rsidRDefault="00E51645" w:rsidP="00E51645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802A0E" w:rsidRPr="000A0766" w14:paraId="3E9F3FE1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40BD8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3956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802A0E" w:rsidRPr="000A0766" w14:paraId="03B7C260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6277F2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8915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1645" w:rsidRPr="000A0766" w14:paraId="408A849B" w14:textId="77777777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1B21" w14:textId="77777777" w:rsidR="00E51645" w:rsidRPr="00E51645" w:rsidRDefault="00E51645" w:rsidP="00C14560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</w:p>
          <w:p w14:paraId="3548AFBC" w14:textId="77777777" w:rsidR="00E51645" w:rsidRPr="000A0766" w:rsidRDefault="00E51645" w:rsidP="00C145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1645" w:rsidRPr="000A0766" w14:paraId="34B0B9BA" w14:textId="77777777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0E08D3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54A50" w14:textId="77777777" w:rsidR="00E51645" w:rsidRPr="000A0766" w:rsidRDefault="00E51645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1645" w:rsidRPr="000A0766" w14:paraId="4CC1C258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1E62A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7D20A" w14:textId="77777777"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14:paraId="55380881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97559" w14:textId="77777777"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7A6D4" w14:textId="77777777"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1645" w:rsidRPr="000A0766" w14:paraId="6ED08EB2" w14:textId="77777777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B0F82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ED579" w14:textId="77777777" w:rsidR="00E51645" w:rsidRPr="000A0766" w:rsidRDefault="00E51645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645" w:rsidRPr="000A0766" w14:paraId="57B45C63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39B9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6602C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1645" w:rsidRPr="000A0766" w14:paraId="1290D950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2B17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E520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645" w:rsidRPr="000A0766" w14:paraId="2FF74BA1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D9FFD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F8328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1645" w:rsidRPr="000A0766" w14:paraId="2F202FBD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D3EDF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1D39F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45" w:rsidRPr="000A0766" w14:paraId="202B0EDA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D42940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2994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45" w:rsidRPr="000A0766" w14:paraId="344695D2" w14:textId="77777777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E57858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45" w:rsidRPr="000A0766" w14:paraId="5F2E3CE5" w14:textId="77777777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EE6891" w14:textId="77777777" w:rsidR="00E51645" w:rsidRPr="00E51645" w:rsidRDefault="00E51645" w:rsidP="00C14560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51645" w:rsidRPr="000A0766" w14:paraId="6B5BF49C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2FC34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16A8" w14:textId="77777777"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14:paraId="7EE76FD3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ECBF" w14:textId="77777777"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40C5" w14:textId="77777777"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1645" w:rsidRPr="000A0766" w14:paraId="59AC87BF" w14:textId="77777777" w:rsidTr="00E5164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9DC94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FD508" w14:textId="77777777" w:rsidR="00E51645" w:rsidRPr="000A0766" w:rsidRDefault="00E51645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645" w:rsidRPr="000A0766" w14:paraId="2D264EB1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07D2F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F42E7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1645" w:rsidRPr="000A0766" w14:paraId="1430657F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5ADAD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835D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645" w:rsidRPr="000A0766" w14:paraId="00DC7BE9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28365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76D65" w14:textId="77777777" w:rsidR="00E51645" w:rsidRPr="000A0766" w:rsidRDefault="00E51645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1645" w:rsidRPr="000A0766" w14:paraId="66734D69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A404F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1E60D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645" w:rsidRPr="000A0766" w14:paraId="1FEA4FF6" w14:textId="77777777" w:rsidTr="00E5164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D9EA4" w14:textId="77777777" w:rsidR="00E51645" w:rsidRPr="000A0766" w:rsidRDefault="00E51645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BF031" w14:textId="77777777" w:rsidR="00E51645" w:rsidRPr="000A0766" w:rsidRDefault="00E51645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645" w:rsidRPr="000A0766" w14:paraId="5363AC71" w14:textId="77777777" w:rsidTr="00E5164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0A40C5" w14:textId="77777777" w:rsidR="00E51645" w:rsidRPr="000A0766" w:rsidRDefault="00E51645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645" w:rsidRPr="000A0766" w14:paraId="0D6B6300" w14:textId="77777777" w:rsidTr="00E5164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223FD" w14:textId="77777777" w:rsidR="00E51645" w:rsidRPr="00C14560" w:rsidRDefault="00E51645" w:rsidP="00C14560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1645" w:rsidRPr="000A0766" w14:paraId="27ED5113" w14:textId="77777777" w:rsidTr="00E5164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C1B26A" w14:textId="77777777" w:rsidR="00E51645" w:rsidRPr="000A0766" w:rsidRDefault="00E51645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8E4A" w14:textId="77777777" w:rsidR="00E51645" w:rsidRPr="000A0766" w:rsidRDefault="00E51645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51645" w:rsidRPr="000A0766" w14:paraId="2DD55038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C157A" w14:textId="77777777" w:rsidR="00E51645" w:rsidRPr="000A0766" w:rsidRDefault="00E51645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CAEA" w14:textId="77777777" w:rsidR="00E51645" w:rsidRPr="000A0766" w:rsidRDefault="00E51645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645" w:rsidRPr="000A0766" w14:paraId="76A65D1C" w14:textId="77777777" w:rsidTr="00E5164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34CAF" w14:textId="77777777" w:rsidR="00E51645" w:rsidRPr="000A0766" w:rsidRDefault="00E51645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1B555" w14:textId="77777777" w:rsidR="00E51645" w:rsidRPr="000A0766" w:rsidRDefault="00E51645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71975B5" w14:textId="77777777" w:rsidR="00C14560" w:rsidRDefault="00C14560" w:rsidP="00C1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139A11A" w14:textId="2408CE10" w:rsidR="00E51645" w:rsidRPr="00C14560" w:rsidRDefault="00E51645" w:rsidP="00C1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које обухватају мере енергетске ефикасности из члана 6. став 2. тач.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</w:t>
      </w:r>
      <w:r w:rsidR="0017229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C1456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4AFED22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0A0766" w14:paraId="5925A6B8" w14:textId="77777777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10C45" w14:textId="3FA650B0" w:rsidR="00802A0E" w:rsidRPr="000A0766" w:rsidRDefault="00C14560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</w:t>
            </w:r>
            <w:r w:rsidRPr="00C1456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према негрејаним просторијама</w:t>
            </w:r>
          </w:p>
          <w:p w14:paraId="6AD06E55" w14:textId="00D5FFC7" w:rsidR="00802A0E" w:rsidRPr="000A0766" w:rsidRDefault="00802A0E" w:rsidP="00BA66B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(породичним кућама и становима )</w:t>
            </w:r>
          </w:p>
        </w:tc>
      </w:tr>
      <w:tr w:rsidR="00802A0E" w:rsidRPr="000A0766" w14:paraId="5A7E4555" w14:textId="77777777" w:rsidTr="00463036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79B3CB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2926" w14:textId="77777777" w:rsidR="00802A0E" w:rsidRPr="000A0766" w:rsidRDefault="00802A0E" w:rsidP="00463036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045841A1" w14:textId="77777777" w:rsidTr="0046303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6C65D" w14:textId="77777777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BAA0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802A0E" w:rsidRPr="000A0766" w14:paraId="5A913F15" w14:textId="77777777" w:rsidTr="00463036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A6520" w14:textId="77777777" w:rsidR="00802A0E" w:rsidRPr="000A0766" w:rsidRDefault="00802A0E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659D5" w14:textId="393038E7" w:rsidR="00802A0E" w:rsidRPr="000A0766" w:rsidRDefault="00802A0E" w:rsidP="006D76A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6D76A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78970C58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DE877" w14:textId="77777777" w:rsidR="00802A0E" w:rsidRPr="000A0766" w:rsidRDefault="00802A0E" w:rsidP="00463036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BDCEC" w14:textId="185BB43C" w:rsidR="00802A0E" w:rsidRPr="000A0766" w:rsidRDefault="006D76A1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802A0E" w:rsidRPr="000A0766" w14:paraId="7CABA69C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782A" w14:textId="77777777" w:rsidR="00802A0E" w:rsidRPr="000A0766" w:rsidRDefault="00802A0E" w:rsidP="00463036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BC82F" w14:textId="0A473006" w:rsidR="00802A0E" w:rsidRPr="000A0766" w:rsidRDefault="006D76A1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C14560" w:rsidRPr="000A0766" w14:paraId="31A24B0C" w14:textId="77777777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82938" w14:textId="77777777" w:rsidR="00C14560" w:rsidRPr="000A0766" w:rsidRDefault="00C14560" w:rsidP="0046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14560" w:rsidRPr="000A0766" w14:paraId="4D670530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448270" w14:textId="1E6BA72B" w:rsidR="00C14560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E7D8" w14:textId="77777777" w:rsidR="00C14560" w:rsidRPr="000A0766" w:rsidRDefault="00C14560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C14560" w:rsidRPr="000A0766" w14:paraId="0D0DB2A2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D35D" w14:textId="77777777" w:rsidR="00C14560" w:rsidRPr="000A0766" w:rsidRDefault="00C14560" w:rsidP="00C1456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F50DA" w14:textId="0E7E5624" w:rsidR="00C14560" w:rsidRPr="000A0766" w:rsidRDefault="00C14560" w:rsidP="00C14560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C14560" w:rsidRPr="000A0766" w14:paraId="6997C0A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8AB901" w14:textId="7AD79FBD" w:rsidR="00C14560" w:rsidRPr="000A0766" w:rsidRDefault="00C14560" w:rsidP="00C14560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587F" w14:textId="73C8B6AA" w:rsidR="00C14560" w:rsidRPr="000A0766" w:rsidRDefault="00C14560" w:rsidP="00C145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C14560" w:rsidRPr="000A0766" w14:paraId="0EBBE90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C68933" w14:textId="77777777" w:rsidR="00C14560" w:rsidRPr="000A0766" w:rsidRDefault="00C14560" w:rsidP="00C14560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751E" w14:textId="0E9DCF8D" w:rsidR="00C14560" w:rsidRPr="000A0766" w:rsidRDefault="00C14560" w:rsidP="00C1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C14560" w:rsidRPr="000A0766" w14:paraId="558B0DA8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E75EF3" w14:textId="77777777" w:rsidR="00C14560" w:rsidRPr="000A0766" w:rsidRDefault="00C14560" w:rsidP="00C14560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6CF7" w14:textId="66D284A6" w:rsidR="00C14560" w:rsidRPr="000A0766" w:rsidRDefault="00C14560" w:rsidP="00C14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548292EA" w14:textId="77777777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3B278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0646E57E" w14:textId="77777777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4AF55F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41999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1DD9D23F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DEBD41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6671" w14:textId="404F34E0" w:rsidR="00802A0E" w:rsidRPr="000A0766" w:rsidRDefault="00C14560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802A0E" w:rsidRPr="000A0766" w14:paraId="1CC1217C" w14:textId="77777777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638285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2F4AB" w14:textId="50445FDB" w:rsidR="00802A0E" w:rsidRPr="000A0766" w:rsidRDefault="00C14560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802A0E" w:rsidRPr="000A0766" w14:paraId="1A1FBAF0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2E51F6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B21E2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802A0E" w:rsidRPr="000A0766" w14:paraId="14A41C88" w14:textId="77777777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5348E0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FA259" w14:textId="77777777" w:rsidR="00802A0E" w:rsidRPr="000A0766" w:rsidRDefault="00802A0E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6D76A1" w:rsidRPr="000A0766" w14:paraId="2451B5F9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A92D8" w14:textId="2CC21F1B" w:rsidR="006D76A1" w:rsidRPr="00C43751" w:rsidRDefault="006D76A1" w:rsidP="007F7EE3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 w:rsidR="00C4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3610246A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D76A1" w:rsidRPr="000A0766" w14:paraId="52F88E0A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BEE586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3E3D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2219CAC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DF458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9E39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323480F2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4CE24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52E78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30E3D062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3851B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61155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5990C07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E05A9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F7DD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10617F52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4D47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57189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7D18F5A4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E2BA8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8EB8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7E217DBC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9BC0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E24C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42D2941D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E18683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3B1D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5649EA9A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88E871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E51645" w14:paraId="3402C5C3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B9EE95" w14:textId="77777777" w:rsidR="006D76A1" w:rsidRPr="00E51645" w:rsidRDefault="006D76A1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6D76A1" w:rsidRPr="000A0766" w14:paraId="5BBA4EAC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9896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AF07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1B8196F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FFFE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6F23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1BEB7E8F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84D87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313CD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7C5B085A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2FAAF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D108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26A24BBE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C6CD7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84F98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774AD162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837A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0B5CA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17C51C92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F95FD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C846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5FE19F3A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E5B92B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A64D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2449244E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A66A4E" w14:textId="77777777" w:rsidR="006D76A1" w:rsidRPr="000A0766" w:rsidRDefault="006D76A1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6A1" w:rsidRPr="00C14560" w14:paraId="6C5365DE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8274" w14:textId="77777777" w:rsidR="006D76A1" w:rsidRPr="00C14560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6D76A1" w:rsidRPr="000A0766" w14:paraId="64C725C7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77EBA9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8F88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076FF3EC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1272C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A1B2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3F6BEB05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D586F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80E6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6E74BF8" w14:textId="77777777" w:rsidR="00802A0E" w:rsidRPr="000A0766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09115FEC" w14:textId="55401BC7" w:rsidR="006D76A1" w:rsidRDefault="006D76A1" w:rsidP="00802A0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AE3FEF" w14:textId="6A3E62B3" w:rsidR="006D76A1" w:rsidRPr="00C14560" w:rsidRDefault="006D76A1" w:rsidP="006D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које обухватају мере енергетске ефикасности из члана 6. став 2. тач.</w:t>
      </w:r>
      <w:r w:rsidR="00172291" w:rsidRP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A66B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4). 5). 6). </w:t>
      </w:r>
    </w:p>
    <w:p w14:paraId="72365D82" w14:textId="77777777" w:rsidR="006D76A1" w:rsidRPr="000A0766" w:rsidRDefault="006D76A1" w:rsidP="00802A0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6D76A1" w14:paraId="0C5797B3" w14:textId="77777777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0C89" w14:textId="749CC605" w:rsidR="00802A0E" w:rsidRPr="006D76A1" w:rsidRDefault="006D76A1" w:rsidP="00BA66B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Набавка и  инсталација котлова на </w:t>
            </w:r>
            <w:r w:rsidRPr="006D7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биомасу, </w:t>
            </w: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уградња цевне мреже, грејних тела-радијатора</w:t>
            </w:r>
            <w:r w:rsidRPr="006D76A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 пратећег прибора, и набавка и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уградња</w:t>
            </w:r>
            <w:r w:rsidRPr="006D76A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топлотних пумпи</w:t>
            </w:r>
            <w:r w:rsidR="00802A0E" w:rsidRPr="006D7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802A0E" w:rsidRPr="000A0766" w14:paraId="59EB4BAE" w14:textId="77777777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35CC9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1BBCCFC5" w14:textId="77777777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C3490C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62E59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60D26DD5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7B7E53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A141C" w14:textId="2B445C74" w:rsidR="00802A0E" w:rsidRPr="000A0766" w:rsidRDefault="006D76A1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3FE8D45C" w14:textId="77777777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CC614B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36B6" w14:textId="06C75704" w:rsidR="00802A0E" w:rsidRPr="000A0766" w:rsidRDefault="006D76A1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51310603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27AB01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408C" w14:textId="48B1E328" w:rsidR="00802A0E" w:rsidRPr="000A0766" w:rsidRDefault="006D76A1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316A135B" w14:textId="77777777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C0820C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9E1D9" w14:textId="143712FC" w:rsidR="00802A0E" w:rsidRPr="000A0766" w:rsidRDefault="006D76A1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802A0E" w:rsidRPr="000A0766" w14:paraId="295E590F" w14:textId="77777777" w:rsidTr="0046303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755583" w14:textId="77777777" w:rsidR="00802A0E" w:rsidRPr="000A0766" w:rsidRDefault="00802A0E" w:rsidP="0046303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6A1" w:rsidRPr="000A0766" w14:paraId="29C17C03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1B9BDD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74E3F" w14:textId="77777777" w:rsidR="006D76A1" w:rsidRPr="000A0766" w:rsidRDefault="006D76A1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6D76A1" w:rsidRPr="000A0766" w14:paraId="4DC32BF4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F509C" w14:textId="77777777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4627E" w14:textId="5F7A4267" w:rsidR="006D76A1" w:rsidRPr="000A0766" w:rsidRDefault="006D76A1" w:rsidP="006D76A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6D76A1" w:rsidRPr="000A0766" w14:paraId="38895EEE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A019C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B2F0" w14:textId="224685FB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6D76A1" w:rsidRPr="000A0766" w14:paraId="3EF59EB3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B9DB7" w14:textId="77777777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E3360" w14:textId="4E812656" w:rsidR="006D76A1" w:rsidRPr="000A0766" w:rsidRDefault="006D76A1" w:rsidP="006D76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6D76A1" w:rsidRPr="000A0766" w14:paraId="1873421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61509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1FC93" w14:textId="4A0DE6A3"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6D76A1" w:rsidRPr="000A0766" w14:paraId="58EFEE89" w14:textId="77777777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FFB1" w14:textId="77777777"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6A1" w:rsidRPr="000A0766" w14:paraId="5103438B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ED151" w14:textId="40342B28" w:rsidR="006D76A1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0D834" w14:textId="77777777" w:rsidR="006D76A1" w:rsidRPr="000A0766" w:rsidRDefault="006D76A1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6D76A1" w:rsidRPr="000A0766" w14:paraId="6680962D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00B2" w14:textId="77777777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4DEE" w14:textId="02BE618C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6D76A1" w:rsidRPr="000A0766" w14:paraId="5049437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0E19C8" w14:textId="05F9DEA6" w:rsidR="006D76A1" w:rsidRPr="000A0766" w:rsidRDefault="006D76A1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FAE7" w14:textId="076414E6" w:rsidR="006D76A1" w:rsidRPr="000A0766" w:rsidRDefault="006D76A1" w:rsidP="006D76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6D76A1" w:rsidRPr="000A0766" w14:paraId="7716EB5B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ADF404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6F162" w14:textId="17CD98E0" w:rsidR="006D76A1" w:rsidRPr="000A0766" w:rsidRDefault="006D76A1" w:rsidP="006D7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6D76A1" w:rsidRPr="000A0766" w14:paraId="15E6AF1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4FE916" w14:textId="77777777" w:rsidR="006D76A1" w:rsidRPr="000A0766" w:rsidRDefault="006D76A1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DC18B" w14:textId="1D34C28B" w:rsidR="006D76A1" w:rsidRPr="000A0766" w:rsidRDefault="006D76A1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6D76A1" w:rsidRPr="000A0766" w14:paraId="69A0C09D" w14:textId="77777777" w:rsidTr="007F7EE3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7C4AB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D76A1" w:rsidRPr="000A0766" w14:paraId="3744333C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6DD2E" w14:textId="3D65A999" w:rsidR="006D76A1" w:rsidRPr="00C43751" w:rsidRDefault="006D76A1" w:rsidP="007F7EE3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 w:rsidR="00C43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61AFFB2F" w14:textId="77777777" w:rsidR="006D76A1" w:rsidRPr="000A0766" w:rsidRDefault="006D76A1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6D76A1" w:rsidRPr="000A0766" w14:paraId="5E8963ED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6E539F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AD7E5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06A7AE72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B5F20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3B46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186D6279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BFFDD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3A0D2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3D5FC3DE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68B1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812A3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16721D3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9EE86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03A1C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2A0BB76E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8C2F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CC76E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354B8EBB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8C32A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3F1AE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0944A7B6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F72C7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303C7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72E2F10D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E2B05C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47895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323FAB8B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46628F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A1" w:rsidRPr="00E51645" w14:paraId="7C417DA2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A4B1B0" w14:textId="77777777" w:rsidR="006D76A1" w:rsidRPr="00E51645" w:rsidRDefault="006D76A1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6D76A1" w:rsidRPr="000A0766" w14:paraId="4C671CD3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DA1BD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2D376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00869F0B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9A504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668B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76A1" w:rsidRPr="000A0766" w14:paraId="5545A576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0137B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82F25" w14:textId="77777777" w:rsidR="006D76A1" w:rsidRPr="000A0766" w:rsidRDefault="006D76A1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6A1" w:rsidRPr="000A0766" w14:paraId="6B269334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85FE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5137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D76A1" w:rsidRPr="000A0766" w14:paraId="3E4D5465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A2535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2AB6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76A1" w:rsidRPr="000A0766" w14:paraId="6631D8AF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B7D16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7907" w14:textId="77777777" w:rsidR="006D76A1" w:rsidRPr="000A0766" w:rsidRDefault="006D76A1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D76A1" w:rsidRPr="000A0766" w14:paraId="3B95CD37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94EE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842C1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76A1" w:rsidRPr="000A0766" w14:paraId="6BF00F67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EE8E6B" w14:textId="77777777" w:rsidR="006D76A1" w:rsidRPr="000A0766" w:rsidRDefault="006D76A1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A9E19" w14:textId="77777777" w:rsidR="006D76A1" w:rsidRPr="000A0766" w:rsidRDefault="006D76A1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6A1" w:rsidRPr="000A0766" w14:paraId="570EF044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8BD8F4" w14:textId="77777777" w:rsidR="006D76A1" w:rsidRPr="000A0766" w:rsidRDefault="006D76A1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6A1" w:rsidRPr="00C14560" w14:paraId="511D2A33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442A2" w14:textId="77777777" w:rsidR="006D76A1" w:rsidRPr="00C14560" w:rsidRDefault="006D76A1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6D76A1" w:rsidRPr="000A0766" w14:paraId="7BBDB6CF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E8CF5A" w14:textId="77777777" w:rsidR="006D76A1" w:rsidRPr="000A0766" w:rsidRDefault="006D76A1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78DF5" w14:textId="77777777" w:rsidR="006D76A1" w:rsidRPr="000A0766" w:rsidRDefault="006D76A1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6D76A1" w:rsidRPr="000A0766" w14:paraId="3DE3595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B15FD" w14:textId="77777777" w:rsidR="006D76A1" w:rsidRPr="000A0766" w:rsidRDefault="006D76A1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76F3E" w14:textId="77777777" w:rsidR="006D76A1" w:rsidRPr="000A0766" w:rsidRDefault="006D76A1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6A1" w:rsidRPr="000A0766" w14:paraId="576F0F6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65051" w14:textId="77777777" w:rsidR="006D76A1" w:rsidRPr="000A0766" w:rsidRDefault="006D76A1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426BD" w14:textId="77777777" w:rsidR="006D76A1" w:rsidRPr="000A0766" w:rsidRDefault="006D76A1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D4143CD" w14:textId="1B2F9703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* за стамбене зграде дати постојећи начин грејања </w:t>
      </w:r>
      <w:r w:rsidR="00E75D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односи на већину станова</w:t>
      </w:r>
    </w:p>
    <w:p w14:paraId="050AC43F" w14:textId="09176A80" w:rsidR="00E06A16" w:rsidRPr="000A0766" w:rsidRDefault="00E06A1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25D5A29" w14:textId="60A60DBC" w:rsidR="00E06A16" w:rsidRDefault="00E75D7C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Критеријуми за избор пројеката 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домаћинстава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кој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обухватају мер</w:t>
      </w:r>
      <w:r w:rsidR="00C4375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Pr="00C757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енергетске ефикасности из члана 6. став 2. тач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ка </w:t>
      </w:r>
      <w:r w:rsidR="00BA66B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7)</w:t>
      </w:r>
    </w:p>
    <w:p w14:paraId="2B4E22D1" w14:textId="77777777" w:rsidR="00E75D7C" w:rsidRPr="000A0766" w:rsidRDefault="00E75D7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802A0E" w:rsidRPr="000A0766" w14:paraId="7AFED250" w14:textId="77777777" w:rsidTr="00463036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30F4D" w14:textId="7C32152D" w:rsidR="00802A0E" w:rsidRPr="00E75D7C" w:rsidRDefault="00E75D7C" w:rsidP="004630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E75D7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уградње соларних колектора у инсталацију за централну припрему потрошне топле воде</w:t>
            </w:r>
            <w:r w:rsidR="00C4375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за породичне куће</w:t>
            </w:r>
          </w:p>
        </w:tc>
      </w:tr>
      <w:tr w:rsidR="00802A0E" w:rsidRPr="000A0766" w14:paraId="0931F4E6" w14:textId="77777777" w:rsidTr="00463036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42FF" w14:textId="77777777" w:rsidR="00802A0E" w:rsidRPr="000A0766" w:rsidRDefault="00802A0E" w:rsidP="004630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02A0E" w:rsidRPr="000A0766" w14:paraId="410A8596" w14:textId="77777777" w:rsidTr="00463036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8CE13D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9B827" w14:textId="77777777" w:rsidR="00802A0E" w:rsidRPr="000A0766" w:rsidRDefault="00802A0E" w:rsidP="0046303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02A0E" w:rsidRPr="000A0766" w14:paraId="6C4301AC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B3A807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1FAE5" w14:textId="22EB573E" w:rsidR="00802A0E" w:rsidRPr="000A0766" w:rsidRDefault="00E75D7C" w:rsidP="00463036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033DD955" w14:textId="77777777" w:rsidTr="00463036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A4258F" w14:textId="77777777" w:rsidR="00802A0E" w:rsidRPr="000A0766" w:rsidRDefault="00802A0E" w:rsidP="0046303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C560" w14:textId="4C0D80A6" w:rsidR="00802A0E" w:rsidRPr="000A0766" w:rsidRDefault="00E75D7C" w:rsidP="00463036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2CAFB277" w14:textId="77777777" w:rsidTr="00463036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C74341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095A" w14:textId="41D25437" w:rsidR="00802A0E" w:rsidRPr="000A0766" w:rsidRDefault="00E75D7C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802A0E"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802A0E" w:rsidRPr="000A0766" w14:paraId="76412B65" w14:textId="77777777" w:rsidTr="00463036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5E40DE" w14:textId="77777777" w:rsidR="00802A0E" w:rsidRPr="000A0766" w:rsidRDefault="00802A0E" w:rsidP="00463036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B62FC" w14:textId="335C7080" w:rsidR="00802A0E" w:rsidRPr="000A0766" w:rsidRDefault="00E75D7C" w:rsidP="00463036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802A0E" w:rsidRPr="000A0766" w14:paraId="2AC7F240" w14:textId="77777777" w:rsidTr="00463036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2AB754" w14:textId="77777777" w:rsidR="00802A0E" w:rsidRPr="000A0766" w:rsidRDefault="00802A0E" w:rsidP="00463036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75D7C" w:rsidRPr="000A0766" w14:paraId="4201CB5A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974080" w14:textId="77777777" w:rsidR="00E75D7C" w:rsidRPr="000A0766" w:rsidRDefault="00E75D7C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5634" w14:textId="77777777" w:rsidR="00E75D7C" w:rsidRPr="000A0766" w:rsidRDefault="00E75D7C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75D7C" w:rsidRPr="000A0766" w14:paraId="387801FD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19F4" w14:textId="77777777" w:rsidR="00E75D7C" w:rsidRPr="000A0766" w:rsidRDefault="00E75D7C" w:rsidP="00E75D7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792CF" w14:textId="44B54DC3" w:rsidR="00E75D7C" w:rsidRPr="000A0766" w:rsidRDefault="00E75D7C" w:rsidP="00E75D7C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75D7C" w:rsidRPr="000A0766" w14:paraId="7416EC77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2B3D" w14:textId="77777777" w:rsidR="00E75D7C" w:rsidRPr="000A0766" w:rsidRDefault="00E75D7C" w:rsidP="00E75D7C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A551" w14:textId="76902C6A" w:rsidR="00E75D7C" w:rsidRPr="000A0766" w:rsidRDefault="00E75D7C" w:rsidP="00E75D7C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75D7C" w:rsidRPr="000A0766" w14:paraId="47AF3DCE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A7B7B" w14:textId="77777777" w:rsidR="00E75D7C" w:rsidRPr="000A0766" w:rsidRDefault="00E75D7C" w:rsidP="00E75D7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FE70A" w14:textId="1A53B8B2" w:rsidR="00E75D7C" w:rsidRPr="000A0766" w:rsidRDefault="00E75D7C" w:rsidP="00E75D7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75D7C" w:rsidRPr="000A0766" w14:paraId="204B37EB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2D324" w14:textId="77777777" w:rsidR="00E75D7C" w:rsidRPr="000A0766" w:rsidRDefault="00E75D7C" w:rsidP="00E75D7C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D49C" w14:textId="1278B729" w:rsidR="00E75D7C" w:rsidRPr="000A0766" w:rsidRDefault="00E75D7C" w:rsidP="00E75D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75D7C" w:rsidRPr="000A0766" w14:paraId="0897F25B" w14:textId="77777777" w:rsidTr="007F7E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D04A6" w14:textId="77777777"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75D7C" w:rsidRPr="000A0766" w14:paraId="638944B3" w14:textId="77777777" w:rsidTr="007F7E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393A51" w14:textId="3F0025F3" w:rsidR="00E75D7C" w:rsidRPr="000A0766" w:rsidRDefault="006F1EE9" w:rsidP="007F7E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F0FAD" w14:textId="77777777" w:rsidR="00E75D7C" w:rsidRPr="000A0766" w:rsidRDefault="00E75D7C" w:rsidP="007F7E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75D7C" w:rsidRPr="000A0766" w14:paraId="2DCEE9D9" w14:textId="77777777" w:rsidTr="007F7E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739A" w14:textId="77777777" w:rsidR="00E75D7C" w:rsidRPr="000A0766" w:rsidRDefault="00E75D7C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895FE" w14:textId="77777777"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75D7C" w:rsidRPr="000A0766" w14:paraId="4873013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EDE2A0" w14:textId="5DDF294B" w:rsidR="00E75D7C" w:rsidRPr="000A0766" w:rsidRDefault="00E75D7C" w:rsidP="007F7E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0830" w14:textId="77777777" w:rsidR="00E75D7C" w:rsidRPr="000A0766" w:rsidRDefault="00E75D7C" w:rsidP="007F7E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75D7C" w:rsidRPr="000A0766" w14:paraId="4B72B9C7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026468" w14:textId="77777777" w:rsidR="00E75D7C" w:rsidRPr="000A0766" w:rsidRDefault="00E75D7C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2EA49" w14:textId="77777777"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75D7C" w:rsidRPr="000A0766" w14:paraId="0CF9671D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4DD72C" w14:textId="77777777" w:rsidR="00E75D7C" w:rsidRPr="000A0766" w:rsidRDefault="00E75D7C" w:rsidP="007F7E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45839" w14:textId="77777777" w:rsidR="00E75D7C" w:rsidRPr="000A0766" w:rsidRDefault="00E75D7C" w:rsidP="007F7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75D7C" w:rsidRPr="000A0766" w14:paraId="242DE562" w14:textId="77777777" w:rsidTr="007F7EE3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864C" w14:textId="77777777" w:rsidR="00E75D7C" w:rsidRPr="000A0766" w:rsidRDefault="00E75D7C" w:rsidP="007F7E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75D7C" w:rsidRPr="00E51645" w14:paraId="1A587D37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11B4F9" w14:textId="77777777" w:rsidR="00E75D7C" w:rsidRPr="00E51645" w:rsidRDefault="00E75D7C" w:rsidP="007F7E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E75D7C" w:rsidRPr="000A0766" w14:paraId="71BFF4DA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868C4" w14:textId="77777777"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1379" w14:textId="77777777" w:rsidR="00E75D7C" w:rsidRPr="000A0766" w:rsidRDefault="00E75D7C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C" w:rsidRPr="000A0766" w14:paraId="111A6A66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13E9C" w14:textId="77777777" w:rsidR="00E75D7C" w:rsidRPr="000A0766" w:rsidRDefault="00E75D7C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EAC5" w14:textId="77777777" w:rsidR="00E75D7C" w:rsidRPr="000A0766" w:rsidRDefault="00E75D7C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75D7C" w:rsidRPr="000A0766" w14:paraId="7C47FAF6" w14:textId="77777777" w:rsidTr="007F7E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094EF" w14:textId="77777777"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E7269" w14:textId="77777777" w:rsidR="00E75D7C" w:rsidRPr="000A0766" w:rsidRDefault="00E75D7C" w:rsidP="007F7E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D7C" w:rsidRPr="000A0766" w14:paraId="734FFDE1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3A0E2" w14:textId="77777777"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FDF23" w14:textId="77777777"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75D7C" w:rsidRPr="000A0766" w14:paraId="704864D1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B9B78" w14:textId="77777777"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838D0" w14:textId="77777777"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D7C" w:rsidRPr="000A0766" w14:paraId="26FA6A8F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09D4A" w14:textId="77777777"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E0FF" w14:textId="77777777" w:rsidR="00E75D7C" w:rsidRPr="000A0766" w:rsidRDefault="00E75D7C" w:rsidP="007F7E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75D7C" w:rsidRPr="000A0766" w14:paraId="28F1FE1E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6B435" w14:textId="77777777"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C414E" w14:textId="77777777"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D7C" w:rsidRPr="000A0766" w14:paraId="283E785D" w14:textId="77777777" w:rsidTr="007F7E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AE81E3" w14:textId="77777777" w:rsidR="00E75D7C" w:rsidRPr="000A0766" w:rsidRDefault="00E75D7C" w:rsidP="007F7E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DC1F" w14:textId="77777777" w:rsidR="00E75D7C" w:rsidRPr="000A0766" w:rsidRDefault="00E75D7C" w:rsidP="007F7E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D7C" w:rsidRPr="000A0766" w14:paraId="2CFE0CF0" w14:textId="77777777" w:rsidTr="007F7E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9C5F39" w14:textId="77777777" w:rsidR="00E75D7C" w:rsidRPr="000A0766" w:rsidRDefault="00E75D7C" w:rsidP="007F7E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D7C" w:rsidRPr="00C14560" w14:paraId="0DDBDCFB" w14:textId="77777777" w:rsidTr="007F7E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1726" w14:textId="77777777" w:rsidR="00E75D7C" w:rsidRPr="00C14560" w:rsidRDefault="00E75D7C" w:rsidP="007F7E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75D7C" w:rsidRPr="000A0766" w14:paraId="14343AAB" w14:textId="77777777" w:rsidTr="007F7E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B94A4C" w14:textId="77777777" w:rsidR="00E75D7C" w:rsidRPr="000A0766" w:rsidRDefault="00E75D7C" w:rsidP="007F7E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41987" w14:textId="77777777" w:rsidR="00E75D7C" w:rsidRPr="000A0766" w:rsidRDefault="00E75D7C" w:rsidP="007F7E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E75D7C" w:rsidRPr="000A0766" w14:paraId="7BF6CA6E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B77CE" w14:textId="77777777" w:rsidR="00E75D7C" w:rsidRPr="000A0766" w:rsidRDefault="00E75D7C" w:rsidP="007F7E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FF0D4" w14:textId="77777777" w:rsidR="00E75D7C" w:rsidRPr="000A0766" w:rsidRDefault="00E75D7C" w:rsidP="007F7E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C" w:rsidRPr="000A0766" w14:paraId="1387C1CA" w14:textId="77777777" w:rsidTr="007F7E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E0DC" w14:textId="77777777" w:rsidR="00E75D7C" w:rsidRPr="000A0766" w:rsidRDefault="00E75D7C" w:rsidP="007F7E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F3E5A" w14:textId="77777777" w:rsidR="00E75D7C" w:rsidRPr="000A0766" w:rsidRDefault="00E75D7C" w:rsidP="007F7E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5BF111B" w14:textId="77777777" w:rsidR="00802A0E" w:rsidRPr="000A0766" w:rsidRDefault="00802A0E" w:rsidP="00C540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DFFFBCC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506B836C" w14:textId="358A4A56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 w:rsidR="00E75D7C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14:paraId="479D968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03A5BB01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0803BAAE" w14:textId="5674FC3E" w:rsidR="00802A0E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 w:rsidR="00C43751"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14:paraId="2CF86205" w14:textId="77777777" w:rsidR="009258EC" w:rsidRPr="000A0766" w:rsidRDefault="009258EC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ADAC67B" w14:textId="2C18531B" w:rsidR="00802A0E" w:rsidRDefault="00802A0E" w:rsidP="00C5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Оцењивање, утврђивање </w:t>
      </w:r>
      <w:r w:rsidR="00C5401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листе и избор крајњих корисника</w:t>
      </w:r>
    </w:p>
    <w:p w14:paraId="0D08F5F1" w14:textId="77777777" w:rsidR="004856A2" w:rsidRPr="000A0766" w:rsidRDefault="004856A2" w:rsidP="00C5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4C17820" w14:textId="554EC3EE" w:rsidR="00802A0E" w:rsidRPr="00C54019" w:rsidRDefault="00802A0E" w:rsidP="00C5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27</w:t>
      </w:r>
    </w:p>
    <w:p w14:paraId="1D2A3573" w14:textId="49BF5B86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пројеката </w:t>
      </w:r>
      <w:r w:rsid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домаћинстава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врши се применом критеријума из  </w:t>
      </w:r>
      <w:r w:rsidR="00723251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26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77513DBD" w14:textId="63FD85F4" w:rsidR="00802A0E" w:rsidRPr="008A5B6E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разматра пријаве и у</w:t>
      </w:r>
      <w:r w:rsidR="007A44F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склад</w:t>
      </w:r>
      <w:r w:rsidR="0072325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са условима  из члана 26</w:t>
      </w:r>
      <w:r w:rsidR="007A44F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Правилника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утврђује </w:t>
      </w:r>
      <w:r w:rsidR="00E91FDE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јединствену 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прелиминарну ранг листу крајњих корисника за </w:t>
      </w:r>
      <w:r w:rsidR="00E91FDE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 мере енергетске ефикасности из јавног позива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бодовања према критеријумима из </w:t>
      </w:r>
      <w:r w:rsidR="00723251"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26</w:t>
      </w:r>
      <w:r w:rsidRPr="008A5B6E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правилника.</w:t>
      </w:r>
    </w:p>
    <w:p w14:paraId="02BA6803" w14:textId="06766391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Листу из става 2. овог члана Комисија објављује на огласној табли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4019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званичној интернет страници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4019" w:rsidRP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434E161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Подносиоци пријава имају право увида у поднете пријаве и приложену документацију по утврђивању листе из става 2. овог члана у року од три дана од дана објављивања листе у складу са ставом 3. овог члана.</w:t>
      </w:r>
    </w:p>
    <w:p w14:paraId="3BB7191D" w14:textId="15954732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листу из става 2. овог члана подносиоци пријава имају право приговора Комисији у року од осам дана од дана њеног објављивања. Приговор се подноси на писарницу 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Општинске управе Осечина.</w:t>
      </w:r>
    </w:p>
    <w:p w14:paraId="7A4B33F7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листу из става 2. овог члана као и да донесе  одлуку о приговору, која мора бити образложена,  у року од 15 дана од дана његовог пријема и на основу донетих одлука донесе ревидирану прелиминарну листу. </w:t>
      </w:r>
    </w:p>
    <w:p w14:paraId="3215810B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 листе из става 6.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14:paraId="7E0455A3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Уколико је Комисија приликом теренског обиласка из става 7. овог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 </w:t>
      </w:r>
    </w:p>
    <w:p w14:paraId="07565BD5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У записнику Комисија потврђује да ли су мере наведене у предмеру и предрачуну који је грађанин поднео приликом пријаве на јавни позив прихватљиве.</w:t>
      </w:r>
    </w:p>
    <w:p w14:paraId="170DB98C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записника из става 9. овог члана комисија сачињава коначну листу крајњих корисника.</w:t>
      </w:r>
    </w:p>
    <w:p w14:paraId="0493E80F" w14:textId="6849EDFA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Листу из става 10. овог члана Комисија објављује на огласној табли </w:t>
      </w:r>
      <w:r w:rsid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Општинске управе Осечина</w:t>
      </w:r>
      <w:r w:rsidR="00C54019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званичној интернет страници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</w:p>
    <w:p w14:paraId="393A43C4" w14:textId="4E9B3098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листу из става 10. овог члана  подносиоци пријава код којих је извршен теренски обилазак, имају право приговора Комисији у року од осам дана од дана објављивања коначне листе крајњих корисника. Приговор се подноси на писарницу 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Општинске управе Осечина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469883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10. овог члана у року од 15 дана од дана пријема приговора и након одлучивања по свим приговорима сачини коначну листу крајњих корисника.</w:t>
      </w:r>
    </w:p>
    <w:p w14:paraId="53A49F1F" w14:textId="426A4F5A" w:rsidR="00FB186A" w:rsidRPr="004856A2" w:rsidRDefault="00802A0E" w:rsidP="004856A2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C54019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C54019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доноси Одлуку о додели бесповратних средстава крајњим корисницима за спровођење мера енергетске санације, на основу чега се закључују уговори.</w:t>
      </w:r>
    </w:p>
    <w:p w14:paraId="7BD0EACA" w14:textId="66D65234" w:rsidR="00802A0E" w:rsidRDefault="00C54019" w:rsidP="00C5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Исплата средстава</w:t>
      </w:r>
    </w:p>
    <w:p w14:paraId="2BCFD9BF" w14:textId="77777777" w:rsidR="004856A2" w:rsidRPr="000A0766" w:rsidRDefault="004856A2" w:rsidP="00C54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E3C8A2C" w14:textId="32A407D8" w:rsidR="00802A0E" w:rsidRPr="000A0766" w:rsidRDefault="00802A0E" w:rsidP="00925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_Hlk67005216"/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0A0766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BF60AB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bookmarkEnd w:id="13"/>
    </w:p>
    <w:p w14:paraId="238DB1B9" w14:textId="19878FB7" w:rsidR="00802A0E" w:rsidRPr="000A0766" w:rsidRDefault="009258EC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Осечина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2A0E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ће вршити пренос средстава искључиво директним корисницима не крајњим корисницима, након што појединачни крајњи корисник изврши уплату директном кориснику целокупну  своју обавезу и након завршетка реализације мере. </w:t>
      </w:r>
    </w:p>
    <w:p w14:paraId="0DE7C3E0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изласка.</w:t>
      </w:r>
    </w:p>
    <w:p w14:paraId="0F522EA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мора имати уредну документацију (рачуне и атесте) које ће доставити надлежној комисији.</w:t>
      </w:r>
    </w:p>
    <w:p w14:paraId="5ED4CB68" w14:textId="10987BBE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 средстава ће вршити пренос средстава изабраним привредним субјектима у складу са закљученим уговором. Крајњи корисник ће сам сносити трошкове изведених радова који буду већи од 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износа субвенције наведене у члану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. Правилника.</w:t>
      </w:r>
    </w:p>
    <w:p w14:paraId="248C2F99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 w14:paraId="310AB9C1" w14:textId="70838FF4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Корисник средстава није средства наменски утрошио, или радови нису изведени у складу са предмером и предрачуном који је крајњи корисник поднео приликом пријаве,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9258EC"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неће уплатити средства додељена јавним позивом.</w:t>
      </w:r>
    </w:p>
    <w:p w14:paraId="1D436F58" w14:textId="77777777" w:rsidR="00802A0E" w:rsidRPr="000A0766" w:rsidRDefault="00802A0E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из неког разлога крајњи корисник не може да реализује набавку од одабраног директног корисника, има право да изврши набавку од другог директног корисника са листе и да о томе, пре реализације набавке, обавести Комисију и достави јој нову профактуру/предрачун, с тим да износ не може бити већи од одобреног.</w:t>
      </w:r>
    </w:p>
    <w:p w14:paraId="33E574D9" w14:textId="77777777" w:rsidR="004856A2" w:rsidRPr="000A0766" w:rsidRDefault="004856A2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04C08AD8" w14:textId="699B240F" w:rsidR="004856A2" w:rsidRPr="004856A2" w:rsidRDefault="00802A0E" w:rsidP="0048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</w:t>
      </w:r>
      <w:r w:rsidR="00463036"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ПРАЋЕЊЕ РЕАЛИЗАЦИЈЕ МЕРА ЕНЕРГЕТСКЕ САНАЦИЈЕ</w:t>
      </w:r>
    </w:p>
    <w:p w14:paraId="7FC33800" w14:textId="7F484F0F" w:rsidR="004856A2" w:rsidRPr="000A0766" w:rsidRDefault="009258EC" w:rsidP="004856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Извештавање</w:t>
      </w:r>
    </w:p>
    <w:p w14:paraId="6817CE9A" w14:textId="7F4347C9" w:rsidR="00802A0E" w:rsidRPr="009258EC" w:rsidRDefault="00802A0E" w:rsidP="00925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F60AB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="009258E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745DEA5F" w14:textId="5325D71D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припрема Завршни извештај о спроведеним мерама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и  подноси га Општинском већу. </w:t>
      </w:r>
    </w:p>
    <w:p w14:paraId="51F52516" w14:textId="002D8A11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Јавност се информише о реализацији мера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преко локалних медија и интернет странице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Осечина.</w:t>
      </w:r>
    </w:p>
    <w:p w14:paraId="449CB075" w14:textId="4F56287F" w:rsidR="00802A0E" w:rsidRPr="000A0766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Завршни извештај о спроведеним мерама енергетске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стаклене баште, подноси се </w:t>
      </w:r>
      <w:r w:rsidR="009258EC">
        <w:rPr>
          <w:rFonts w:ascii="Times New Roman" w:hAnsi="Times New Roman" w:cs="Times New Roman"/>
          <w:sz w:val="24"/>
          <w:szCs w:val="24"/>
          <w:lang w:val="sr-Cyrl-CS"/>
        </w:rPr>
        <w:t>Општинском већу о</w:t>
      </w:r>
      <w:r w:rsidR="009258EC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9258EC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и објављује на интернет страници.  </w:t>
      </w:r>
    </w:p>
    <w:p w14:paraId="2221E21B" w14:textId="6D943673" w:rsidR="00FB186A" w:rsidRPr="003F342C" w:rsidRDefault="00802A0E" w:rsidP="003F342C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Директни корисници средстава који изводе радове на енергетској санацији дужни су да Комисији, у сваком моменту, омогуће контролу реализације активности и уви</w:t>
      </w:r>
      <w:r w:rsidR="003F34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 у сву потребну документацију.</w:t>
      </w:r>
    </w:p>
    <w:p w14:paraId="3CDADDCA" w14:textId="69F9C61F" w:rsidR="00802A0E" w:rsidRDefault="003F342C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Објављивање</w:t>
      </w:r>
    </w:p>
    <w:p w14:paraId="140DE46B" w14:textId="77777777" w:rsidR="004856A2" w:rsidRPr="000A0766" w:rsidRDefault="004856A2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00C87DF" w14:textId="635624A9" w:rsidR="00802A0E" w:rsidRPr="000A0766" w:rsidRDefault="00802A0E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3</w:t>
      </w:r>
      <w:r w:rsidR="00BF60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</w:t>
      </w:r>
      <w:r w:rsidR="003F342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7AF1573C" w14:textId="37C50E00" w:rsidR="00960C01" w:rsidRPr="000A0766" w:rsidRDefault="00802A0E" w:rsidP="00670DC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Подаци и акти које Комисија објављују на  званичној интернет страници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3F342C"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="003F34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морају се објавити и н</w:t>
      </w:r>
      <w:r w:rsidR="00960C01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 огласној табли </w:t>
      </w:r>
      <w:r w:rsidR="003F342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Општинске управе Осечина.</w:t>
      </w:r>
    </w:p>
    <w:p w14:paraId="38553B7E" w14:textId="77777777" w:rsidR="008A5B6E" w:rsidRDefault="008A5B6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41A3F4D" w14:textId="37071646" w:rsidR="00802A0E" w:rsidRDefault="003F342C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Чување документације</w:t>
      </w:r>
    </w:p>
    <w:p w14:paraId="74009AFC" w14:textId="77777777" w:rsidR="004856A2" w:rsidRPr="000A0766" w:rsidRDefault="004856A2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B121428" w14:textId="40EB8507" w:rsidR="00802A0E" w:rsidRPr="000A0766" w:rsidRDefault="00802A0E" w:rsidP="003F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3</w:t>
      </w:r>
      <w:r w:rsidR="00BF60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3F342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5467FAC" w14:textId="6B9215FB" w:rsidR="00802A0E" w:rsidRPr="000A0766" w:rsidRDefault="003F342C" w:rsidP="003F3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Општинска управа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C7A8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пштине Осечина</w:t>
      </w:r>
      <w:r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02A0E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има обавезу да чува комплетну документацију насталу у поступку суфинансирања мера енергетске </w:t>
      </w:r>
      <w:r w:rsidR="00802A0E"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0A07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складу са важећим прописима.</w:t>
      </w:r>
    </w:p>
    <w:p w14:paraId="1C9CC221" w14:textId="77777777"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EA491CA" w14:textId="7542815C" w:rsidR="00802A0E" w:rsidRDefault="003F342C" w:rsidP="003F34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VII ПРЕЛАЗНЕ И ЗАВРШНЕ ОДРЕДБЕ</w:t>
      </w:r>
    </w:p>
    <w:p w14:paraId="5646A5A3" w14:textId="77777777" w:rsidR="004856A2" w:rsidRPr="000A0766" w:rsidRDefault="004856A2" w:rsidP="003F342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0B8B48F" w14:textId="533059A5" w:rsidR="00802A0E" w:rsidRPr="000A0766" w:rsidRDefault="004B6E41" w:rsidP="003F34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BF60AB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3F342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56980CE8" w14:textId="1DB6EEB8" w:rsidR="00960C01" w:rsidRPr="00670DC0" w:rsidRDefault="00802A0E" w:rsidP="00670DC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4" w:name="_Hlk68992585"/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Овај Правилник ступа на снагу даном доношења и биће објављен  у „</w:t>
      </w:r>
      <w:bookmarkEnd w:id="14"/>
      <w:r w:rsidR="003F342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Општинском службеном гласнику“ општине Осечина.</w:t>
      </w:r>
    </w:p>
    <w:p w14:paraId="22341313" w14:textId="77777777" w:rsidR="00802A0E" w:rsidRPr="000A0766" w:rsidRDefault="00802A0E" w:rsidP="00802A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14:paraId="42CC7DDE" w14:textId="77777777" w:rsidR="00802A0E" w:rsidRPr="000A0766" w:rsidRDefault="00802A0E" w:rsidP="00802A0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3A058FCE" w14:textId="107DF9B2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Чланом 20. став 1. тачка 8. Закона о локалној самоуправи („Сл.гласник РС, број </w:t>
      </w:r>
      <w:r w:rsidR="00835C96" w:rsidRPr="009865D4">
        <w:rPr>
          <w:rFonts w:ascii="Times New Roman" w:hAnsi="Times New Roman" w:cs="Times New Roman"/>
          <w:sz w:val="24"/>
          <w:szCs w:val="24"/>
          <w:lang w:val="sr-Cyrl-CS"/>
        </w:rPr>
        <w:t>129/2007, 83/2014 - др. закон, 101/2016 - др. закон,</w:t>
      </w:r>
      <w:r w:rsidR="00835C96">
        <w:rPr>
          <w:rFonts w:ascii="Times New Roman" w:hAnsi="Times New Roman" w:cs="Times New Roman"/>
          <w:sz w:val="24"/>
          <w:szCs w:val="24"/>
          <w:lang w:val="sr-Cyrl-CS"/>
        </w:rPr>
        <w:t xml:space="preserve"> 47/2018 и 111/2021 - др. закон</w:t>
      </w: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)  између осталог је прописано да се општина преко својих органа, у складу са законом, стара о заштити животне средине.</w:t>
      </w:r>
    </w:p>
    <w:p w14:paraId="026AA9BB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Чланом 69. Закона о енергетској ефикасности и рационалној употреби енергије  („Сл.гласник РС“,број 40/21) између осталог је прописано да се средства за финансирање или суфинансирање послова у области ефикасног коришћења енергије, који се односе на израду пројеката, програма и реализацију активности, обезбеђују из буџета Републике Србије, као и буџета јединице локалне самоуправе.</w:t>
      </w:r>
    </w:p>
    <w:p w14:paraId="50FE20E2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Чланом 70. Закона о енергетској ефикасности и рационалној употреби енергије   прописано је да надлежни орган јединице локалне самоуправе својим актом може утврдити посебне финансијске и друге подстицаје,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територији, у складу са законом и прописима који регулишу рад ових органа. О својим активностима у смислу става 1. овог члана, надлежни орган јединице локалне самоуправе дужан је да обавести Министарство.</w:t>
      </w:r>
    </w:p>
    <w:p w14:paraId="56755C07" w14:textId="0DF0BEB8" w:rsidR="00960C01" w:rsidRPr="000A0766" w:rsidRDefault="00802A0E" w:rsidP="00670DC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Чланом </w:t>
      </w:r>
      <w:r w:rsidR="00835C9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40</w:t>
      </w: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. Статута </w:t>
      </w:r>
      <w:r w:rsidR="00835C96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Осечина </w:t>
      </w:r>
      <w:r w:rsidRPr="000A076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прописано је да Скупштина у складу са законом доноси прописе и друге опште акте из надлежности </w:t>
      </w:r>
      <w:r w:rsidR="00835C9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општине.</w:t>
      </w:r>
    </w:p>
    <w:p w14:paraId="6F58597F" w14:textId="77777777" w:rsidR="00802A0E" w:rsidRPr="000A0766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14:paraId="2B6E5EFD" w14:textId="6905FD40" w:rsidR="00802A0E" w:rsidRPr="000A0766" w:rsidRDefault="00802A0E" w:rsidP="00835C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ОПШТИНСКО ВЕЋЕ ОПШТИНЕ </w:t>
      </w:r>
      <w:r w:rsidR="00835C96">
        <w:rPr>
          <w:rFonts w:ascii="Times New Roman" w:hAnsi="Times New Roman" w:cs="Times New Roman"/>
          <w:b/>
          <w:sz w:val="24"/>
          <w:szCs w:val="24"/>
          <w:lang w:val="sr-Cyrl-CS"/>
        </w:rPr>
        <w:t>ОСЕЧИНА</w:t>
      </w:r>
    </w:p>
    <w:p w14:paraId="3B5E0AA6" w14:textId="67D16352" w:rsidR="00802A0E" w:rsidRPr="00670DC0" w:rsidRDefault="00835C96" w:rsidP="00670DC0">
      <w:pPr>
        <w:spacing w:after="0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15" w:name="_Hlk73729404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="00802A0E" w:rsidRPr="000A0766">
        <w:rPr>
          <w:rFonts w:ascii="Times New Roman" w:hAnsi="Times New Roman" w:cs="Times New Roman"/>
          <w:sz w:val="24"/>
          <w:szCs w:val="24"/>
          <w:lang w:val="sr-Cyrl-CS"/>
        </w:rPr>
        <w:t>ПРЕДСЕДНИК ОПШТИНСКОГ ВЕЋА</w:t>
      </w:r>
      <w:bookmarkEnd w:id="15"/>
      <w:r w:rsidR="00802A0E" w:rsidRPr="000A076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</w:t>
      </w:r>
    </w:p>
    <w:p w14:paraId="21CB54A7" w14:textId="058707DF" w:rsidR="00802A0E" w:rsidRPr="000A0766" w:rsidRDefault="00835C96" w:rsidP="00835C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Никола Томић</w:t>
      </w:r>
    </w:p>
    <w:p w14:paraId="107B560D" w14:textId="77777777" w:rsidR="00802A0E" w:rsidRPr="000A0766" w:rsidRDefault="00802A0E" w:rsidP="00835C9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</w:p>
    <w:p w14:paraId="66A0D9DB" w14:textId="29493035" w:rsidR="00802A0E" w:rsidRPr="000A0766" w:rsidRDefault="00802A0E" w:rsidP="00802A0E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Број: </w:t>
      </w:r>
      <w:r w:rsidR="00C552BA">
        <w:rPr>
          <w:rFonts w:ascii="Times New Roman" w:eastAsia="Calibri" w:hAnsi="Times New Roman" w:cs="Times New Roman"/>
          <w:sz w:val="24"/>
          <w:szCs w:val="24"/>
          <w:lang w:val="sr-Cyrl-CS"/>
        </w:rPr>
        <w:t>060-18/2022</w:t>
      </w:r>
    </w:p>
    <w:p w14:paraId="43D29C0C" w14:textId="4BE5BF55" w:rsidR="00802A0E" w:rsidRPr="000A0766" w:rsidRDefault="00835C96" w:rsidP="00802A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Датум:</w:t>
      </w:r>
      <w:r w:rsidR="00C552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15.04.2022.</w:t>
      </w:r>
    </w:p>
    <w:sectPr w:rsidR="00802A0E" w:rsidRPr="000A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78" w:hanging="360"/>
      </w:pPr>
    </w:lvl>
    <w:lvl w:ilvl="2" w:tplc="241A001B" w:tentative="1">
      <w:start w:val="1"/>
      <w:numFmt w:val="lowerRoman"/>
      <w:lvlText w:val="%3."/>
      <w:lvlJc w:val="right"/>
      <w:pPr>
        <w:ind w:left="2898" w:hanging="180"/>
      </w:pPr>
    </w:lvl>
    <w:lvl w:ilvl="3" w:tplc="241A000F" w:tentative="1">
      <w:start w:val="1"/>
      <w:numFmt w:val="decimal"/>
      <w:lvlText w:val="%4."/>
      <w:lvlJc w:val="left"/>
      <w:pPr>
        <w:ind w:left="3618" w:hanging="360"/>
      </w:pPr>
    </w:lvl>
    <w:lvl w:ilvl="4" w:tplc="241A0019" w:tentative="1">
      <w:start w:val="1"/>
      <w:numFmt w:val="lowerLetter"/>
      <w:lvlText w:val="%5."/>
      <w:lvlJc w:val="left"/>
      <w:pPr>
        <w:ind w:left="4338" w:hanging="360"/>
      </w:pPr>
    </w:lvl>
    <w:lvl w:ilvl="5" w:tplc="241A001B" w:tentative="1">
      <w:start w:val="1"/>
      <w:numFmt w:val="lowerRoman"/>
      <w:lvlText w:val="%6."/>
      <w:lvlJc w:val="right"/>
      <w:pPr>
        <w:ind w:left="5058" w:hanging="180"/>
      </w:pPr>
    </w:lvl>
    <w:lvl w:ilvl="6" w:tplc="241A000F" w:tentative="1">
      <w:start w:val="1"/>
      <w:numFmt w:val="decimal"/>
      <w:lvlText w:val="%7."/>
      <w:lvlJc w:val="left"/>
      <w:pPr>
        <w:ind w:left="5778" w:hanging="360"/>
      </w:pPr>
    </w:lvl>
    <w:lvl w:ilvl="7" w:tplc="241A0019" w:tentative="1">
      <w:start w:val="1"/>
      <w:numFmt w:val="lowerLetter"/>
      <w:lvlText w:val="%8."/>
      <w:lvlJc w:val="left"/>
      <w:pPr>
        <w:ind w:left="6498" w:hanging="360"/>
      </w:pPr>
    </w:lvl>
    <w:lvl w:ilvl="8" w:tplc="241A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7" w15:restartNumberingAfterBreak="0">
    <w:nsid w:val="1B3A3067"/>
    <w:multiLevelType w:val="hybridMultilevel"/>
    <w:tmpl w:val="5CEE806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B1CD0"/>
    <w:multiLevelType w:val="hybridMultilevel"/>
    <w:tmpl w:val="3716C0AA"/>
    <w:lvl w:ilvl="0" w:tplc="49ACDB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33CA7CB9"/>
    <w:multiLevelType w:val="hybridMultilevel"/>
    <w:tmpl w:val="18167AC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25BE0"/>
    <w:multiLevelType w:val="hybridMultilevel"/>
    <w:tmpl w:val="D3D06C4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14"/>
  </w:num>
  <w:num w:numId="4">
    <w:abstractNumId w:val="12"/>
  </w:num>
  <w:num w:numId="5">
    <w:abstractNumId w:val="8"/>
  </w:num>
  <w:num w:numId="6">
    <w:abstractNumId w:val="28"/>
  </w:num>
  <w:num w:numId="7">
    <w:abstractNumId w:val="21"/>
  </w:num>
  <w:num w:numId="8">
    <w:abstractNumId w:val="20"/>
  </w:num>
  <w:num w:numId="9">
    <w:abstractNumId w:val="27"/>
  </w:num>
  <w:num w:numId="10">
    <w:abstractNumId w:val="1"/>
  </w:num>
  <w:num w:numId="11">
    <w:abstractNumId w:val="10"/>
  </w:num>
  <w:num w:numId="12">
    <w:abstractNumId w:val="0"/>
  </w:num>
  <w:num w:numId="13">
    <w:abstractNumId w:val="11"/>
  </w:num>
  <w:num w:numId="14">
    <w:abstractNumId w:val="24"/>
  </w:num>
  <w:num w:numId="15">
    <w:abstractNumId w:val="31"/>
  </w:num>
  <w:num w:numId="16">
    <w:abstractNumId w:val="4"/>
  </w:num>
  <w:num w:numId="17">
    <w:abstractNumId w:val="33"/>
  </w:num>
  <w:num w:numId="18">
    <w:abstractNumId w:val="3"/>
  </w:num>
  <w:num w:numId="19">
    <w:abstractNumId w:val="19"/>
  </w:num>
  <w:num w:numId="20">
    <w:abstractNumId w:val="23"/>
  </w:num>
  <w:num w:numId="21">
    <w:abstractNumId w:val="17"/>
  </w:num>
  <w:num w:numId="22">
    <w:abstractNumId w:val="13"/>
  </w:num>
  <w:num w:numId="23">
    <w:abstractNumId w:val="16"/>
  </w:num>
  <w:num w:numId="24">
    <w:abstractNumId w:val="30"/>
  </w:num>
  <w:num w:numId="25">
    <w:abstractNumId w:val="6"/>
  </w:num>
  <w:num w:numId="26">
    <w:abstractNumId w:val="22"/>
  </w:num>
  <w:num w:numId="27">
    <w:abstractNumId w:val="2"/>
  </w:num>
  <w:num w:numId="28">
    <w:abstractNumId w:val="26"/>
  </w:num>
  <w:num w:numId="29">
    <w:abstractNumId w:val="25"/>
  </w:num>
  <w:num w:numId="30">
    <w:abstractNumId w:val="36"/>
  </w:num>
  <w:num w:numId="31">
    <w:abstractNumId w:val="32"/>
  </w:num>
  <w:num w:numId="32">
    <w:abstractNumId w:val="38"/>
  </w:num>
  <w:num w:numId="33">
    <w:abstractNumId w:val="29"/>
  </w:num>
  <w:num w:numId="34">
    <w:abstractNumId w:val="5"/>
  </w:num>
  <w:num w:numId="35">
    <w:abstractNumId w:val="37"/>
  </w:num>
  <w:num w:numId="36">
    <w:abstractNumId w:val="9"/>
  </w:num>
  <w:num w:numId="37">
    <w:abstractNumId w:val="7"/>
  </w:num>
  <w:num w:numId="38">
    <w:abstractNumId w:val="1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16E5F"/>
    <w:rsid w:val="000413A6"/>
    <w:rsid w:val="00041624"/>
    <w:rsid w:val="000A0766"/>
    <w:rsid w:val="000C0811"/>
    <w:rsid w:val="000C0E81"/>
    <w:rsid w:val="00157AE0"/>
    <w:rsid w:val="00172291"/>
    <w:rsid w:val="001D600A"/>
    <w:rsid w:val="001E426B"/>
    <w:rsid w:val="001F4E36"/>
    <w:rsid w:val="00212B1E"/>
    <w:rsid w:val="002154A5"/>
    <w:rsid w:val="002305A6"/>
    <w:rsid w:val="002861EC"/>
    <w:rsid w:val="00294C40"/>
    <w:rsid w:val="002B721C"/>
    <w:rsid w:val="002C6A6A"/>
    <w:rsid w:val="002E5167"/>
    <w:rsid w:val="002F7A20"/>
    <w:rsid w:val="00306981"/>
    <w:rsid w:val="003323B7"/>
    <w:rsid w:val="00340221"/>
    <w:rsid w:val="00363D94"/>
    <w:rsid w:val="00394EDD"/>
    <w:rsid w:val="003958F9"/>
    <w:rsid w:val="003B4758"/>
    <w:rsid w:val="003B684D"/>
    <w:rsid w:val="003E50C3"/>
    <w:rsid w:val="003F342C"/>
    <w:rsid w:val="00412C62"/>
    <w:rsid w:val="00413AF3"/>
    <w:rsid w:val="00463036"/>
    <w:rsid w:val="0046601E"/>
    <w:rsid w:val="004856A2"/>
    <w:rsid w:val="004958C6"/>
    <w:rsid w:val="004A2065"/>
    <w:rsid w:val="004B6E41"/>
    <w:rsid w:val="004C4F24"/>
    <w:rsid w:val="004D6CB8"/>
    <w:rsid w:val="004E37B1"/>
    <w:rsid w:val="004F3CF2"/>
    <w:rsid w:val="004F74CF"/>
    <w:rsid w:val="00544A29"/>
    <w:rsid w:val="005974D3"/>
    <w:rsid w:val="005A0799"/>
    <w:rsid w:val="005B773B"/>
    <w:rsid w:val="005C76F7"/>
    <w:rsid w:val="005F0E7C"/>
    <w:rsid w:val="005F6587"/>
    <w:rsid w:val="006147AE"/>
    <w:rsid w:val="00647B4F"/>
    <w:rsid w:val="00655054"/>
    <w:rsid w:val="006622C1"/>
    <w:rsid w:val="00662540"/>
    <w:rsid w:val="00670DC0"/>
    <w:rsid w:val="006A786B"/>
    <w:rsid w:val="006A7A46"/>
    <w:rsid w:val="006D27AA"/>
    <w:rsid w:val="006D76A1"/>
    <w:rsid w:val="006F0BFC"/>
    <w:rsid w:val="006F1EE9"/>
    <w:rsid w:val="00701F6C"/>
    <w:rsid w:val="007041B8"/>
    <w:rsid w:val="00723251"/>
    <w:rsid w:val="0076495C"/>
    <w:rsid w:val="007A44F1"/>
    <w:rsid w:val="007C46C0"/>
    <w:rsid w:val="007D7119"/>
    <w:rsid w:val="007E6536"/>
    <w:rsid w:val="007F7EE3"/>
    <w:rsid w:val="00802A0E"/>
    <w:rsid w:val="00835C96"/>
    <w:rsid w:val="00853970"/>
    <w:rsid w:val="0087337E"/>
    <w:rsid w:val="00887B2D"/>
    <w:rsid w:val="008A3C8E"/>
    <w:rsid w:val="008A5B6E"/>
    <w:rsid w:val="008C735C"/>
    <w:rsid w:val="008D52C1"/>
    <w:rsid w:val="008E18C4"/>
    <w:rsid w:val="009258EC"/>
    <w:rsid w:val="009271E3"/>
    <w:rsid w:val="0094406C"/>
    <w:rsid w:val="00960C01"/>
    <w:rsid w:val="009800E5"/>
    <w:rsid w:val="00983F94"/>
    <w:rsid w:val="009865D4"/>
    <w:rsid w:val="009978E8"/>
    <w:rsid w:val="009A3E25"/>
    <w:rsid w:val="009C4DA4"/>
    <w:rsid w:val="009C6702"/>
    <w:rsid w:val="009D3161"/>
    <w:rsid w:val="009F1BD2"/>
    <w:rsid w:val="009F5423"/>
    <w:rsid w:val="00A12458"/>
    <w:rsid w:val="00A47DCA"/>
    <w:rsid w:val="00A84AE5"/>
    <w:rsid w:val="00AA062B"/>
    <w:rsid w:val="00AC7A8A"/>
    <w:rsid w:val="00AF3C37"/>
    <w:rsid w:val="00AF4754"/>
    <w:rsid w:val="00B40A1F"/>
    <w:rsid w:val="00B44EE4"/>
    <w:rsid w:val="00B6548C"/>
    <w:rsid w:val="00BA66B8"/>
    <w:rsid w:val="00BB0EFA"/>
    <w:rsid w:val="00BF31EF"/>
    <w:rsid w:val="00BF60AB"/>
    <w:rsid w:val="00C14560"/>
    <w:rsid w:val="00C43751"/>
    <w:rsid w:val="00C54019"/>
    <w:rsid w:val="00C552BA"/>
    <w:rsid w:val="00C576C6"/>
    <w:rsid w:val="00C656AD"/>
    <w:rsid w:val="00C757B3"/>
    <w:rsid w:val="00C840AF"/>
    <w:rsid w:val="00CC310E"/>
    <w:rsid w:val="00CF534A"/>
    <w:rsid w:val="00D51E5B"/>
    <w:rsid w:val="00D74C78"/>
    <w:rsid w:val="00D77AD6"/>
    <w:rsid w:val="00DA7373"/>
    <w:rsid w:val="00E0028F"/>
    <w:rsid w:val="00E06A16"/>
    <w:rsid w:val="00E403D0"/>
    <w:rsid w:val="00E51645"/>
    <w:rsid w:val="00E72692"/>
    <w:rsid w:val="00E75D7C"/>
    <w:rsid w:val="00E87DCE"/>
    <w:rsid w:val="00E91FDE"/>
    <w:rsid w:val="00EC3F17"/>
    <w:rsid w:val="00F23F2C"/>
    <w:rsid w:val="00F52EFA"/>
    <w:rsid w:val="00F57BCB"/>
    <w:rsid w:val="00F94B69"/>
    <w:rsid w:val="00FA5193"/>
    <w:rsid w:val="00FA7911"/>
    <w:rsid w:val="00FB186A"/>
    <w:rsid w:val="00FD3B9E"/>
    <w:rsid w:val="00FD573B"/>
    <w:rsid w:val="00FD5C3B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7C17"/>
  <w15:chartTrackingRefBased/>
  <w15:docId w15:val="{A79EA48E-0BD4-4A02-B58A-7B0DF5F0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9151-2743-4964-AC22-6DBFB6D6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5787</Words>
  <Characters>32989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Gavrilović</dc:creator>
  <cp:keywords/>
  <dc:description/>
  <cp:lastModifiedBy>Suzana</cp:lastModifiedBy>
  <cp:revision>6</cp:revision>
  <cp:lastPrinted>2022-03-17T11:15:00Z</cp:lastPrinted>
  <dcterms:created xsi:type="dcterms:W3CDTF">2022-04-05T08:45:00Z</dcterms:created>
  <dcterms:modified xsi:type="dcterms:W3CDTF">2022-05-24T06:22:00Z</dcterms:modified>
</cp:coreProperties>
</file>